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80" w:after="80" w:line="240" w:lineRule="auto"/>
        <w:ind w:left="0" w:firstLine="567"/>
        <w:outlineLvl w:val="1"/>
        <w:rPr>
          <w:rFonts w:eastAsia="Calibri"/>
          <w:b/>
          <w:color w:val="0070C0"/>
          <w:szCs w:val="28"/>
          <w:lang w:val="en-US"/>
        </w:rPr>
      </w:pPr>
      <w:bookmarkStart w:id="0" w:name="_GoBack"/>
      <w:bookmarkEnd w:id="0"/>
      <w:r>
        <w:rPr>
          <w:rFonts w:eastAsia="Calibri"/>
          <w:b/>
          <w:color w:val="0070C0"/>
          <w:szCs w:val="28"/>
          <w:lang w:val="en-US"/>
        </w:rPr>
        <w:t>Chi trả trợ cấp xã hội hàng tháng, hỗ trợ kinh phí chăm sóc, nuôi dưỡng hàng tháng khi đối tượng thay đổi nơi cư trú trong cùng địa bàn quận, huyện, thị xã, thành phố thuộc tỉnh (1.001758)</w:t>
      </w:r>
    </w:p>
    <w:p>
      <w:pPr>
        <w:pStyle w:val="5"/>
        <w:numPr>
          <w:ilvl w:val="1"/>
          <w:numId w:val="1"/>
        </w:numPr>
        <w:tabs>
          <w:tab w:val="left" w:pos="993"/>
        </w:tabs>
        <w:spacing w:before="80" w:after="80" w:line="240" w:lineRule="auto"/>
        <w:ind w:left="0" w:firstLine="567"/>
        <w:rPr>
          <w:rFonts w:eastAsia="Calibri"/>
          <w:b/>
          <w:bCs/>
          <w:szCs w:val="28"/>
          <w:lang w:val="en-US"/>
        </w:rPr>
      </w:pPr>
      <w:r>
        <w:rPr>
          <w:rFonts w:eastAsia="Calibri"/>
          <w:b/>
          <w:bCs/>
          <w:szCs w:val="28"/>
          <w:lang w:val="en-US"/>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r>
              <w:rPr>
                <w:b/>
                <w:szCs w:val="28"/>
              </w:rPr>
              <w:t>TT</w:t>
            </w:r>
          </w:p>
        </w:tc>
        <w:tc>
          <w:tcPr>
            <w:tcW w:w="2546" w:type="dxa"/>
            <w:vAlign w:val="center"/>
          </w:tcPr>
          <w:p>
            <w:pPr>
              <w:spacing w:before="80" w:after="80" w:line="240" w:lineRule="auto"/>
              <w:jc w:val="center"/>
              <w:rPr>
                <w:b/>
                <w:szCs w:val="28"/>
              </w:rPr>
            </w:pPr>
            <w:r>
              <w:rPr>
                <w:b/>
                <w:szCs w:val="28"/>
              </w:rPr>
              <w:t>Trình tự thực hiện</w:t>
            </w:r>
          </w:p>
        </w:tc>
        <w:tc>
          <w:tcPr>
            <w:tcW w:w="7691" w:type="dxa"/>
            <w:vAlign w:val="center"/>
          </w:tcPr>
          <w:p>
            <w:pPr>
              <w:spacing w:before="80" w:after="80" w:line="240" w:lineRule="auto"/>
              <w:ind w:firstLine="353"/>
              <w:jc w:val="center"/>
              <w:rPr>
                <w:b/>
                <w:szCs w:val="28"/>
              </w:rPr>
            </w:pPr>
            <w:r>
              <w:rPr>
                <w:b/>
                <w:szCs w:val="28"/>
              </w:rPr>
              <w:t>Cách thức thực hiện</w:t>
            </w:r>
          </w:p>
        </w:tc>
        <w:tc>
          <w:tcPr>
            <w:tcW w:w="2722" w:type="dxa"/>
            <w:vAlign w:val="center"/>
          </w:tcPr>
          <w:p>
            <w:pPr>
              <w:spacing w:before="80" w:after="8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80" w:after="80" w:line="240" w:lineRule="auto"/>
              <w:jc w:val="center"/>
              <w:rPr>
                <w:b/>
                <w:szCs w:val="28"/>
              </w:rPr>
            </w:pPr>
            <w:r>
              <w:rPr>
                <w:b/>
                <w:szCs w:val="28"/>
              </w:rPr>
              <w:t>Bước 1</w:t>
            </w:r>
          </w:p>
        </w:tc>
        <w:tc>
          <w:tcPr>
            <w:tcW w:w="2546" w:type="dxa"/>
            <w:vAlign w:val="center"/>
          </w:tcPr>
          <w:p>
            <w:pPr>
              <w:spacing w:before="80" w:after="80" w:line="240" w:lineRule="auto"/>
              <w:rPr>
                <w:szCs w:val="28"/>
              </w:rPr>
            </w:pPr>
            <w:r>
              <w:rPr>
                <w:b/>
                <w:szCs w:val="28"/>
              </w:rPr>
              <w:t>Nộp hồ sơ thủ tục hành chính:</w:t>
            </w:r>
            <w:r>
              <w:rPr>
                <w:szCs w:val="28"/>
              </w:rPr>
              <w:t xml:space="preserve"> </w:t>
            </w:r>
            <w:r>
              <w:rPr>
                <w:i/>
                <w:szCs w:val="28"/>
              </w:rPr>
              <w:t>Cá nhân chuẩn bị hồ sơ đầy đủ theo quy định và nộp hồ sơ qua các cách thức sau:</w:t>
            </w:r>
          </w:p>
        </w:tc>
        <w:tc>
          <w:tcPr>
            <w:tcW w:w="7691" w:type="dxa"/>
            <w:vAlign w:val="center"/>
          </w:tcPr>
          <w:p>
            <w:pPr>
              <w:spacing w:before="80" w:after="80" w:line="240" w:lineRule="auto"/>
              <w:ind w:firstLine="353"/>
              <w:rPr>
                <w:szCs w:val="28"/>
              </w:rPr>
            </w:pPr>
            <w:r>
              <w:rPr>
                <w:szCs w:val="28"/>
              </w:rPr>
              <w:t>1. Nộp trực tiếp qua Bộ phận tiếp nhận và trả kết quả của Ủy ban nhân dân cấp xã.</w:t>
            </w:r>
          </w:p>
          <w:p>
            <w:pPr>
              <w:spacing w:before="80" w:after="80" w:line="240" w:lineRule="auto"/>
              <w:ind w:firstLine="353"/>
              <w:rPr>
                <w:color w:val="FF0000"/>
                <w:szCs w:val="28"/>
                <w:lang w:val="es-BO"/>
              </w:rPr>
            </w:pPr>
            <w:r>
              <w:rPr>
                <w:szCs w:val="28"/>
              </w:rPr>
              <w:t>2. Hoặc thông qua dịch vụ bưu chính công ích.</w:t>
            </w:r>
          </w:p>
        </w:tc>
        <w:tc>
          <w:tcPr>
            <w:tcW w:w="2722" w:type="dxa"/>
            <w:vAlign w:val="center"/>
          </w:tcPr>
          <w:p>
            <w:pPr>
              <w:spacing w:before="80" w:after="8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lang w:val="es-BO"/>
              </w:rPr>
            </w:pPr>
          </w:p>
        </w:tc>
        <w:tc>
          <w:tcPr>
            <w:tcW w:w="2546" w:type="dxa"/>
            <w:vAlign w:val="center"/>
          </w:tcPr>
          <w:p>
            <w:pPr>
              <w:spacing w:before="80" w:after="80" w:line="240" w:lineRule="auto"/>
              <w:rPr>
                <w:b/>
                <w:szCs w:val="28"/>
                <w:lang w:val="es-BO"/>
              </w:rPr>
            </w:pPr>
          </w:p>
        </w:tc>
        <w:tc>
          <w:tcPr>
            <w:tcW w:w="7691" w:type="dxa"/>
          </w:tcPr>
          <w:p>
            <w:pPr>
              <w:spacing w:before="80" w:after="80" w:line="240" w:lineRule="auto"/>
              <w:ind w:firstLine="353"/>
              <w:rPr>
                <w:szCs w:val="28"/>
                <w:lang w:val="nl-NL"/>
              </w:rPr>
            </w:pPr>
            <w:r>
              <w:rPr>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lang w:val="nl-NL"/>
              </w:rPr>
              <w:t>http://dichvucong.dongthap.gov.vn</w:t>
            </w:r>
            <w:r>
              <w:rPr>
                <w:color w:val="0563C1"/>
                <w:szCs w:val="28"/>
                <w:u w:val="single"/>
                <w:lang w:val="nl-NL"/>
              </w:rPr>
              <w:fldChar w:fldCharType="end"/>
            </w:r>
          </w:p>
        </w:tc>
        <w:tc>
          <w:tcPr>
            <w:tcW w:w="2722" w:type="dxa"/>
            <w:vAlign w:val="center"/>
          </w:tcPr>
          <w:p>
            <w:pPr>
              <w:spacing w:before="80" w:after="80" w:line="240" w:lineRule="auto"/>
              <w:ind w:firstLine="460"/>
              <w:rPr>
                <w:szCs w:val="28"/>
                <w:lang w:val="nl-NL"/>
              </w:rPr>
            </w:pPr>
            <w:r>
              <w:rPr>
                <w:szCs w:val="28"/>
                <w:lang w:val="nl-NL"/>
              </w:rPr>
              <w:t xml:space="preserve">Không quy định </w:t>
            </w:r>
            <w:r>
              <w:rPr>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r>
              <w:rPr>
                <w:b/>
                <w:szCs w:val="28"/>
              </w:rPr>
              <w:t>Bước 2</w:t>
            </w:r>
          </w:p>
        </w:tc>
        <w:tc>
          <w:tcPr>
            <w:tcW w:w="2546" w:type="dxa"/>
            <w:vAlign w:val="center"/>
          </w:tcPr>
          <w:p>
            <w:pPr>
              <w:spacing w:before="80" w:after="80" w:line="240" w:lineRule="auto"/>
              <w:rPr>
                <w:b/>
                <w:szCs w:val="28"/>
              </w:rPr>
            </w:pPr>
            <w:r>
              <w:rPr>
                <w:b/>
                <w:szCs w:val="28"/>
              </w:rPr>
              <w:t>Tiếp nhận và chuyển hồ sơ thủ tục hành chính</w:t>
            </w:r>
          </w:p>
        </w:tc>
        <w:tc>
          <w:tcPr>
            <w:tcW w:w="7691" w:type="dxa"/>
          </w:tcPr>
          <w:p>
            <w:pPr>
              <w:spacing w:before="80" w:after="80" w:line="240" w:lineRule="auto"/>
              <w:ind w:firstLine="353"/>
              <w:rPr>
                <w:szCs w:val="28"/>
              </w:rPr>
            </w:pPr>
            <w:r>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80" w:after="80" w:line="240" w:lineRule="auto"/>
              <w:ind w:firstLine="353"/>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53"/>
              <w:rPr>
                <w:szCs w:val="28"/>
              </w:rPr>
            </w:pPr>
            <w:r>
              <w:rPr>
                <w:szCs w:val="28"/>
              </w:rPr>
              <w:t>b) Trường hợp từ chối nhận hồ sơ, công chức tiếp nhận hồ sơ phải nêu rõ lý do theo mẫu Phiếu từ chối giải quyết hồ sơ thủ tục hành chính;</w:t>
            </w:r>
          </w:p>
          <w:p>
            <w:pPr>
              <w:spacing w:before="80" w:after="80" w:line="240" w:lineRule="auto"/>
              <w:ind w:firstLine="353"/>
              <w:rPr>
                <w:szCs w:val="28"/>
              </w:rPr>
            </w:pPr>
            <w:r>
              <w:rPr>
                <w:szCs w:val="28"/>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2722" w:type="dxa"/>
            <w:vAlign w:val="center"/>
          </w:tcPr>
          <w:p>
            <w:pPr>
              <w:spacing w:before="80" w:after="80" w:line="240" w:lineRule="auto"/>
              <w:ind w:firstLine="460"/>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p>
        </w:tc>
        <w:tc>
          <w:tcPr>
            <w:tcW w:w="2546" w:type="dxa"/>
            <w:vAlign w:val="center"/>
          </w:tcPr>
          <w:p>
            <w:pPr>
              <w:spacing w:before="80" w:after="80" w:line="240" w:lineRule="auto"/>
              <w:rPr>
                <w:b/>
                <w:szCs w:val="28"/>
              </w:rPr>
            </w:pPr>
          </w:p>
        </w:tc>
        <w:tc>
          <w:tcPr>
            <w:tcW w:w="7691" w:type="dxa"/>
            <w:vAlign w:val="center"/>
          </w:tcPr>
          <w:p>
            <w:pPr>
              <w:spacing w:before="80" w:after="80" w:line="240" w:lineRule="auto"/>
              <w:ind w:firstLine="35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5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53"/>
              <w:rPr>
                <w:szCs w:val="28"/>
              </w:rPr>
            </w:pPr>
            <w:r>
              <w:rPr>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80" w:after="8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b/>
                <w:szCs w:val="28"/>
              </w:rPr>
            </w:pPr>
            <w:r>
              <w:rPr>
                <w:b/>
                <w:szCs w:val="28"/>
              </w:rPr>
              <w:t>Bước 3</w:t>
            </w:r>
          </w:p>
        </w:tc>
        <w:tc>
          <w:tcPr>
            <w:tcW w:w="2546" w:type="dxa"/>
            <w:vMerge w:val="restart"/>
            <w:vAlign w:val="center"/>
          </w:tcPr>
          <w:p>
            <w:pPr>
              <w:spacing w:before="80" w:after="80" w:line="240" w:lineRule="auto"/>
              <w:rPr>
                <w:b/>
                <w:szCs w:val="28"/>
              </w:rPr>
            </w:pPr>
            <w:r>
              <w:rPr>
                <w:b/>
                <w:szCs w:val="28"/>
              </w:rPr>
              <w:t>Giải quyết thủ tục hành chính</w:t>
            </w:r>
          </w:p>
        </w:tc>
        <w:tc>
          <w:tcPr>
            <w:tcW w:w="7691" w:type="dxa"/>
          </w:tcPr>
          <w:p>
            <w:pPr>
              <w:spacing w:before="80" w:after="80" w:line="240" w:lineRule="auto"/>
              <w:ind w:firstLine="353"/>
              <w:rPr>
                <w:szCs w:val="28"/>
              </w:rPr>
            </w:pPr>
            <w:r>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80" w:after="80" w:line="240" w:lineRule="auto"/>
              <w:ind w:firstLine="460"/>
              <w:rPr>
                <w:szCs w:val="28"/>
              </w:rPr>
            </w:pPr>
            <w:r>
              <w:rPr>
                <w:szCs w:val="28"/>
              </w:rPr>
              <w:t>06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7691" w:type="dxa"/>
            <w:vAlign w:val="center"/>
          </w:tcPr>
          <w:p>
            <w:pPr>
              <w:spacing w:before="80" w:after="80" w:line="240" w:lineRule="auto"/>
              <w:ind w:firstLine="353"/>
              <w:rPr>
                <w:szCs w:val="28"/>
              </w:rPr>
            </w:pPr>
            <w:r>
              <w:rPr>
                <w:szCs w:val="28"/>
              </w:rPr>
              <w:t>1. Tiếp nhận hồ sơ (Bộ phận tiếp nhận và trả kết quả UBND cấp xã)</w:t>
            </w:r>
          </w:p>
        </w:tc>
        <w:tc>
          <w:tcPr>
            <w:tcW w:w="2722" w:type="dxa"/>
            <w:vAlign w:val="center"/>
          </w:tcPr>
          <w:p>
            <w:pPr>
              <w:spacing w:before="80" w:after="8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7691" w:type="dxa"/>
          </w:tcPr>
          <w:p>
            <w:pPr>
              <w:spacing w:before="80" w:after="80" w:line="240" w:lineRule="auto"/>
              <w:ind w:firstLine="353"/>
              <w:rPr>
                <w:szCs w:val="28"/>
              </w:rPr>
            </w:pPr>
            <w:r>
              <w:rPr>
                <w:szCs w:val="28"/>
              </w:rPr>
              <w:t xml:space="preserve">2. Giải quyết hồ sơ (Ủy ban nhân dân cấp xã; Phòng Lao động - Thương binh và Xã hội; Ủy ban nhân dân cấp huyện) </w:t>
            </w:r>
          </w:p>
        </w:tc>
        <w:tc>
          <w:tcPr>
            <w:tcW w:w="2722" w:type="dxa"/>
            <w:vAlign w:val="center"/>
          </w:tcPr>
          <w:p>
            <w:pPr>
              <w:spacing w:before="80" w:after="8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7691" w:type="dxa"/>
          </w:tcPr>
          <w:p>
            <w:pPr>
              <w:spacing w:before="80" w:after="80" w:line="240" w:lineRule="auto"/>
              <w:ind w:firstLine="353"/>
              <w:rPr>
                <w:szCs w:val="28"/>
              </w:rPr>
            </w:pPr>
            <w:r>
              <w:rPr>
                <w:b/>
                <w:szCs w:val="28"/>
              </w:rPr>
              <w:t>a) Cấp xã:</w:t>
            </w:r>
            <w:r>
              <w:rPr>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pPr>
              <w:spacing w:before="80" w:after="80" w:line="240" w:lineRule="auto"/>
              <w:ind w:firstLine="460"/>
              <w:rPr>
                <w:szCs w:val="28"/>
              </w:rPr>
            </w:pPr>
            <w:r>
              <w:rPr>
                <w:szCs w:val="28"/>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7691" w:type="dxa"/>
          </w:tcPr>
          <w:p>
            <w:pPr>
              <w:spacing w:before="80" w:after="80" w:line="240" w:lineRule="auto"/>
              <w:ind w:firstLine="353"/>
              <w:rPr>
                <w:szCs w:val="28"/>
              </w:rPr>
            </w:pPr>
            <w:r>
              <w:rPr>
                <w:szCs w:val="28"/>
              </w:rPr>
              <w:t xml:space="preserve">+ Công chức Lao động - Thương binh và Xã hội </w:t>
            </w:r>
          </w:p>
          <w:p>
            <w:pPr>
              <w:spacing w:before="80" w:after="80" w:line="240" w:lineRule="auto"/>
              <w:ind w:firstLine="353"/>
              <w:rPr>
                <w:szCs w:val="28"/>
              </w:rPr>
            </w:pPr>
            <w:r>
              <w:rPr>
                <w:szCs w:val="28"/>
              </w:rPr>
              <w:t>+ Chủ tịch Ủy ban nhân dân cấp xã</w:t>
            </w:r>
          </w:p>
          <w:p>
            <w:pPr>
              <w:spacing w:before="80" w:after="80" w:line="240" w:lineRule="auto"/>
              <w:ind w:firstLine="353"/>
              <w:rPr>
                <w:szCs w:val="28"/>
              </w:rPr>
            </w:pPr>
            <w:r>
              <w:rPr>
                <w:szCs w:val="28"/>
              </w:rPr>
              <w:t>+ Văn thư Ủy ban nhân dân cấp xã</w:t>
            </w:r>
          </w:p>
        </w:tc>
        <w:tc>
          <w:tcPr>
            <w:tcW w:w="2722" w:type="dxa"/>
            <w:vAlign w:val="center"/>
          </w:tcPr>
          <w:p>
            <w:pPr>
              <w:spacing w:before="80" w:after="80" w:line="240" w:lineRule="auto"/>
              <w:ind w:firstLine="460"/>
              <w:rPr>
                <w:szCs w:val="28"/>
              </w:rPr>
            </w:pPr>
            <w:r>
              <w:rPr>
                <w:szCs w:val="28"/>
              </w:rPr>
              <w:t>01 ngày làm việc</w:t>
            </w:r>
          </w:p>
          <w:p>
            <w:pPr>
              <w:spacing w:before="80" w:after="80" w:line="240" w:lineRule="auto"/>
              <w:ind w:firstLine="460"/>
              <w:rPr>
                <w:szCs w:val="28"/>
              </w:rPr>
            </w:pPr>
            <w:r>
              <w:rPr>
                <w:szCs w:val="28"/>
              </w:rPr>
              <w:t>0,5 ngày làm việc</w:t>
            </w:r>
          </w:p>
          <w:p>
            <w:pPr>
              <w:spacing w:before="80" w:after="8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p>
        </w:tc>
        <w:tc>
          <w:tcPr>
            <w:tcW w:w="2546" w:type="dxa"/>
            <w:vAlign w:val="center"/>
          </w:tcPr>
          <w:p>
            <w:pPr>
              <w:spacing w:before="80" w:after="80" w:line="240" w:lineRule="auto"/>
              <w:rPr>
                <w:b/>
                <w:szCs w:val="28"/>
              </w:rPr>
            </w:pPr>
          </w:p>
        </w:tc>
        <w:tc>
          <w:tcPr>
            <w:tcW w:w="7691" w:type="dxa"/>
          </w:tcPr>
          <w:p>
            <w:pPr>
              <w:spacing w:before="80" w:after="80" w:line="240" w:lineRule="auto"/>
              <w:ind w:firstLine="353"/>
              <w:rPr>
                <w:szCs w:val="28"/>
                <w:lang w:val="es-BO"/>
              </w:rPr>
            </w:pPr>
            <w:r>
              <w:rPr>
                <w:b/>
                <w:szCs w:val="28"/>
                <w:lang w:val="es-BO"/>
              </w:rPr>
              <w:t>b) Cấp huyện:</w:t>
            </w:r>
            <w:r>
              <w:rPr>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pPr>
              <w:spacing w:before="80" w:after="8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p>
        </w:tc>
        <w:tc>
          <w:tcPr>
            <w:tcW w:w="2546" w:type="dxa"/>
            <w:vAlign w:val="center"/>
          </w:tcPr>
          <w:p>
            <w:pPr>
              <w:spacing w:before="80" w:after="80" w:line="240" w:lineRule="auto"/>
              <w:rPr>
                <w:b/>
                <w:szCs w:val="28"/>
              </w:rPr>
            </w:pPr>
          </w:p>
        </w:tc>
        <w:tc>
          <w:tcPr>
            <w:tcW w:w="7691" w:type="dxa"/>
          </w:tcPr>
          <w:p>
            <w:pPr>
              <w:spacing w:before="80" w:after="80" w:line="240" w:lineRule="auto"/>
              <w:ind w:firstLine="353"/>
              <w:rPr>
                <w:szCs w:val="28"/>
                <w:lang w:val="es-BO"/>
              </w:rPr>
            </w:pPr>
            <w:r>
              <w:rPr>
                <w:szCs w:val="28"/>
                <w:lang w:val="es-BO"/>
              </w:rPr>
              <w:t>+ Công chức Phòng Lao động - Thương binh và Xã hội</w:t>
            </w:r>
          </w:p>
          <w:p>
            <w:pPr>
              <w:spacing w:before="80" w:after="80" w:line="240" w:lineRule="auto"/>
              <w:ind w:firstLine="353"/>
              <w:rPr>
                <w:szCs w:val="28"/>
                <w:lang w:val="es-BO"/>
              </w:rPr>
            </w:pPr>
            <w:r>
              <w:rPr>
                <w:szCs w:val="28"/>
                <w:lang w:val="es-BO"/>
              </w:rPr>
              <w:t>+ Lãnh đạo Phòng Lao động - Thương binh và Xã hội</w:t>
            </w:r>
          </w:p>
          <w:p>
            <w:pPr>
              <w:spacing w:before="80" w:after="80" w:line="240" w:lineRule="auto"/>
              <w:ind w:firstLine="353"/>
              <w:rPr>
                <w:szCs w:val="28"/>
                <w:lang w:val="es-BO"/>
              </w:rPr>
            </w:pPr>
            <w:r>
              <w:rPr>
                <w:szCs w:val="28"/>
                <w:lang w:val="es-BO"/>
              </w:rPr>
              <w:t>+ Văn thư Phòng Lao động - Thương binh và Xã hội</w:t>
            </w:r>
          </w:p>
          <w:p>
            <w:pPr>
              <w:spacing w:before="80" w:after="80" w:line="240" w:lineRule="auto"/>
              <w:ind w:firstLine="353"/>
              <w:rPr>
                <w:szCs w:val="28"/>
                <w:lang w:val="es-BO"/>
              </w:rPr>
            </w:pPr>
            <w:r>
              <w:rPr>
                <w:szCs w:val="28"/>
                <w:lang w:val="es-BO"/>
              </w:rPr>
              <w:t>+ Chủ tịch UBND huyện</w:t>
            </w:r>
          </w:p>
          <w:p>
            <w:pPr>
              <w:spacing w:before="80" w:after="80" w:line="240" w:lineRule="auto"/>
              <w:ind w:firstLine="353"/>
              <w:rPr>
                <w:szCs w:val="28"/>
                <w:lang w:val="es-BO"/>
              </w:rPr>
            </w:pPr>
            <w:r>
              <w:rPr>
                <w:szCs w:val="28"/>
                <w:lang w:val="es-BO"/>
              </w:rPr>
              <w:t>+ Văn thư UBND huyện</w:t>
            </w:r>
          </w:p>
        </w:tc>
        <w:tc>
          <w:tcPr>
            <w:tcW w:w="2722" w:type="dxa"/>
            <w:vAlign w:val="center"/>
          </w:tcPr>
          <w:p>
            <w:pPr>
              <w:spacing w:before="80" w:after="80" w:line="240" w:lineRule="auto"/>
              <w:ind w:firstLine="460"/>
              <w:rPr>
                <w:szCs w:val="28"/>
                <w:lang w:val="es-BO"/>
              </w:rPr>
            </w:pPr>
            <w:r>
              <w:rPr>
                <w:szCs w:val="28"/>
                <w:lang w:val="es-BO"/>
              </w:rPr>
              <w:t>0,5 ngày làm việc</w:t>
            </w:r>
          </w:p>
          <w:p>
            <w:pPr>
              <w:spacing w:before="80" w:after="80" w:line="240" w:lineRule="auto"/>
              <w:ind w:firstLine="460"/>
              <w:rPr>
                <w:szCs w:val="28"/>
                <w:lang w:val="es-BO"/>
              </w:rPr>
            </w:pPr>
            <w:r>
              <w:rPr>
                <w:szCs w:val="28"/>
                <w:lang w:val="es-BO"/>
              </w:rPr>
              <w:t>0,5 ngày làm việc</w:t>
            </w:r>
          </w:p>
          <w:p>
            <w:pPr>
              <w:spacing w:before="80" w:after="80" w:line="240" w:lineRule="auto"/>
              <w:ind w:firstLine="460"/>
              <w:rPr>
                <w:szCs w:val="28"/>
                <w:lang w:val="es-BO"/>
              </w:rPr>
            </w:pPr>
            <w:r>
              <w:rPr>
                <w:szCs w:val="28"/>
                <w:lang w:val="es-BO"/>
              </w:rPr>
              <w:t>0,5 ngày làm việc</w:t>
            </w:r>
          </w:p>
          <w:p>
            <w:pPr>
              <w:spacing w:before="80" w:after="80" w:line="240" w:lineRule="auto"/>
              <w:ind w:firstLine="460"/>
              <w:rPr>
                <w:szCs w:val="28"/>
                <w:lang w:val="es-BO"/>
              </w:rPr>
            </w:pPr>
            <w:r>
              <w:rPr>
                <w:szCs w:val="28"/>
                <w:lang w:val="es-BO"/>
              </w:rPr>
              <w:t>01 ngày làm việc</w:t>
            </w:r>
          </w:p>
          <w:p>
            <w:pPr>
              <w:spacing w:before="80" w:after="80" w:line="240" w:lineRule="auto"/>
              <w:ind w:firstLine="460"/>
              <w:rPr>
                <w:szCs w:val="28"/>
                <w:lang w:val="es-BO"/>
              </w:rPr>
            </w:pPr>
            <w:r>
              <w:rPr>
                <w:szCs w:val="28"/>
                <w:lang w:val="es-BO"/>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p>
        </w:tc>
        <w:tc>
          <w:tcPr>
            <w:tcW w:w="2546" w:type="dxa"/>
            <w:vAlign w:val="center"/>
          </w:tcPr>
          <w:p>
            <w:pPr>
              <w:spacing w:before="80" w:after="80" w:line="240" w:lineRule="auto"/>
              <w:rPr>
                <w:b/>
                <w:szCs w:val="28"/>
              </w:rPr>
            </w:pPr>
          </w:p>
        </w:tc>
        <w:tc>
          <w:tcPr>
            <w:tcW w:w="7691" w:type="dxa"/>
          </w:tcPr>
          <w:p>
            <w:pPr>
              <w:spacing w:before="80" w:after="80" w:line="240" w:lineRule="auto"/>
              <w:ind w:firstLine="353"/>
              <w:rPr>
                <w:szCs w:val="28"/>
                <w:lang w:val="es-BO"/>
              </w:rPr>
            </w:pPr>
            <w:r>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80" w:after="80" w:line="240" w:lineRule="auto"/>
              <w:ind w:firstLine="460"/>
              <w:rPr>
                <w:szCs w:val="28"/>
                <w:lang w:val="es-BO"/>
              </w:rPr>
            </w:pPr>
            <w:r>
              <w:rPr>
                <w:szCs w:val="28"/>
                <w:lang w:val="es-BO"/>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r>
              <w:rPr>
                <w:b/>
                <w:szCs w:val="28"/>
              </w:rPr>
              <w:t>Bước 4</w:t>
            </w:r>
          </w:p>
        </w:tc>
        <w:tc>
          <w:tcPr>
            <w:tcW w:w="2546" w:type="dxa"/>
            <w:vAlign w:val="center"/>
          </w:tcPr>
          <w:p>
            <w:pPr>
              <w:spacing w:before="80" w:after="80" w:line="240" w:lineRule="auto"/>
              <w:rPr>
                <w:b/>
                <w:szCs w:val="28"/>
              </w:rPr>
            </w:pPr>
            <w:r>
              <w:rPr>
                <w:b/>
                <w:szCs w:val="28"/>
              </w:rPr>
              <w:t>Trả kết quả giải quyết thủ tục hành chính</w:t>
            </w:r>
          </w:p>
        </w:tc>
        <w:tc>
          <w:tcPr>
            <w:tcW w:w="7691" w:type="dxa"/>
          </w:tcPr>
          <w:p>
            <w:pPr>
              <w:spacing w:before="80" w:after="80" w:line="240" w:lineRule="auto"/>
              <w:ind w:firstLine="353"/>
              <w:rPr>
                <w:bCs/>
                <w:szCs w:val="28"/>
              </w:rPr>
            </w:pPr>
            <w:r>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80" w:after="80" w:line="240" w:lineRule="auto"/>
              <w:ind w:firstLine="353"/>
              <w:rPr>
                <w:szCs w:val="28"/>
              </w:rPr>
            </w:pPr>
            <w:r>
              <w:rPr>
                <w:szCs w:val="28"/>
              </w:rPr>
              <w:t>Công chức tiếp nhận và trả kết quả nhập vào Sổ theo dõi hồ sơ và Phần mềm một cửa điện tử, thực hiện như sau:</w:t>
            </w:r>
          </w:p>
          <w:p>
            <w:pPr>
              <w:spacing w:before="80" w:after="80" w:line="240" w:lineRule="auto"/>
              <w:ind w:firstLine="353"/>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53"/>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pPr>
              <w:spacing w:before="80" w:after="8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vAlign w:val="center"/>
          </w:tcPr>
          <w:p>
            <w:pPr>
              <w:spacing w:before="80" w:after="80" w:line="240" w:lineRule="auto"/>
              <w:ind w:firstLine="460"/>
              <w:rPr>
                <w:szCs w:val="28"/>
              </w:rPr>
            </w:pPr>
            <w:r>
              <w:rPr>
                <w:szCs w:val="28"/>
              </w:rPr>
              <w:t xml:space="preserve">0,5 ngày làm việc </w:t>
            </w:r>
          </w:p>
          <w:p>
            <w:pPr>
              <w:spacing w:before="80" w:after="80" w:line="240" w:lineRule="auto"/>
              <w:ind w:firstLine="460"/>
              <w:rPr>
                <w:szCs w:val="28"/>
              </w:rPr>
            </w:pPr>
          </w:p>
        </w:tc>
      </w:tr>
    </w:tbl>
    <w:p>
      <w:pPr>
        <w:tabs>
          <w:tab w:val="left" w:pos="1134"/>
        </w:tabs>
        <w:spacing w:before="80" w:after="80" w:line="240" w:lineRule="auto"/>
        <w:ind w:left="567"/>
        <w:rPr>
          <w:rFonts w:eastAsia="Calibri"/>
          <w:b/>
          <w:bCs/>
          <w:szCs w:val="28"/>
          <w:shd w:val="clear" w:color="auto" w:fill="FFFFFF"/>
          <w:lang w:val="en-US"/>
        </w:rPr>
      </w:pPr>
    </w:p>
    <w:p>
      <w:pPr>
        <w:tabs>
          <w:tab w:val="left" w:pos="1134"/>
        </w:tabs>
        <w:spacing w:before="80" w:after="80" w:line="240" w:lineRule="auto"/>
        <w:ind w:left="567"/>
        <w:rPr>
          <w:rFonts w:eastAsia="Calibri"/>
          <w:b/>
          <w:bCs/>
          <w:szCs w:val="28"/>
          <w:shd w:val="clear" w:color="auto" w:fill="FFFFFF"/>
          <w:lang w:val="en-US"/>
        </w:rPr>
      </w:pPr>
    </w:p>
    <w:p>
      <w:pPr>
        <w:pStyle w:val="5"/>
        <w:numPr>
          <w:ilvl w:val="1"/>
          <w:numId w:val="1"/>
        </w:numPr>
        <w:tabs>
          <w:tab w:val="left" w:pos="1134"/>
        </w:tabs>
        <w:spacing w:before="80" w:after="80" w:line="240" w:lineRule="auto"/>
        <w:rPr>
          <w:rFonts w:eastAsia="Calibri"/>
          <w:b/>
          <w:bCs/>
          <w:szCs w:val="28"/>
          <w:shd w:val="clear" w:color="auto" w:fill="FFFFFF"/>
          <w:lang w:val="en-US"/>
        </w:rPr>
      </w:pPr>
      <w:r>
        <w:rPr>
          <w:rFonts w:eastAsia="Calibri"/>
          <w:b/>
          <w:bCs/>
          <w:szCs w:val="28"/>
          <w:shd w:val="clear" w:color="auto" w:fill="FFFFFF"/>
          <w:lang w:val="en-US"/>
        </w:rPr>
        <w:t>Thành phần, số lượng hồ sơ</w:t>
      </w:r>
    </w:p>
    <w:p>
      <w:pPr>
        <w:tabs>
          <w:tab w:val="left" w:pos="1134"/>
        </w:tabs>
        <w:spacing w:before="80" w:after="80" w:line="240" w:lineRule="auto"/>
        <w:ind w:firstLine="567"/>
        <w:rPr>
          <w:rFonts w:eastAsia="Calibri"/>
          <w:b/>
          <w:bCs/>
          <w:szCs w:val="28"/>
          <w:lang w:val="en-US"/>
        </w:rPr>
      </w:pPr>
      <w:r>
        <w:rPr>
          <w:rFonts w:eastAsia="Calibri"/>
          <w:b/>
          <w:bCs/>
          <w:szCs w:val="28"/>
          <w:shd w:val="clear" w:color="auto" w:fill="FFFFFF"/>
          <w:lang w:val="en-US"/>
        </w:rPr>
        <w:t>a) Thành phần hồ sơ</w:t>
      </w:r>
    </w:p>
    <w:p>
      <w:pPr>
        <w:tabs>
          <w:tab w:val="left" w:pos="1134"/>
        </w:tabs>
        <w:spacing w:before="80" w:after="80" w:line="240" w:lineRule="auto"/>
        <w:ind w:firstLine="567"/>
        <w:rPr>
          <w:rFonts w:eastAsia="Calibri"/>
          <w:szCs w:val="28"/>
          <w:shd w:val="clear" w:color="auto" w:fill="FFFFFF"/>
          <w:lang w:val="en-US"/>
        </w:rPr>
      </w:pPr>
      <w:r>
        <w:rPr>
          <w:rFonts w:eastAsia="Calibri"/>
          <w:szCs w:val="28"/>
          <w:shd w:val="clear" w:color="auto" w:fill="FFFFFF"/>
          <w:lang w:val="en-US"/>
        </w:rPr>
        <w:t>Văn bản đề nghị của đối tượng.</w:t>
      </w:r>
    </w:p>
    <w:p>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5"/>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w:t>
      </w:r>
    </w:p>
    <w:p>
      <w:pPr>
        <w:pStyle w:val="5"/>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pPr>
        <w:pStyle w:val="5"/>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Chi trả trợ cấp xã hội hàng tháng, hỗ trợ kinh phí chăm sóc, nuôi dưỡng hàng tháng cho đối tượng theo địa chỉ nơi cư trú mới.</w:t>
      </w:r>
    </w:p>
    <w:p>
      <w:pPr>
        <w:pStyle w:val="5"/>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5"/>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pPr>
        <w:pStyle w:val="5"/>
        <w:numPr>
          <w:ilvl w:val="1"/>
          <w:numId w:val="1"/>
        </w:numPr>
        <w:tabs>
          <w:tab w:val="left" w:pos="1134"/>
        </w:tabs>
        <w:spacing w:before="80" w:after="8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pPr>
        <w:pStyle w:val="5"/>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Khoản 3 Điều 8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5"/>
        <w:numPr>
          <w:ilvl w:val="1"/>
          <w:numId w:val="1"/>
        </w:numPr>
        <w:shd w:val="clear" w:color="auto" w:fill="FFFFFF"/>
        <w:tabs>
          <w:tab w:val="left" w:pos="1134"/>
        </w:tabs>
        <w:spacing w:before="80" w:after="8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5"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1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eastAsia="Calibri"/>
                <w:szCs w:val="28"/>
                <w:lang w:val="en-US" w:eastAsia="vi-VN"/>
              </w:rPr>
            </w:pPr>
            <w:r>
              <w:rPr>
                <w:rFonts w:eastAsia="Calibri"/>
                <w:szCs w:val="28"/>
                <w:lang w:val="en-US" w:eastAsia="vi-VN"/>
              </w:rPr>
              <w:t>- Như mục 2.2;</w:t>
            </w:r>
          </w:p>
          <w:p>
            <w:pPr>
              <w:spacing w:line="240" w:lineRule="auto"/>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2127" w:type="dxa"/>
            <w:vMerge w:val="restart"/>
            <w:vAlign w:val="center"/>
          </w:tcPr>
          <w:p>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2127" w:type="dxa"/>
            <w:vMerge w:val="continue"/>
          </w:tcPr>
          <w:p>
            <w:pPr>
              <w:spacing w:line="240" w:lineRule="auto"/>
              <w:textAlignment w:val="baseline"/>
              <w:rPr>
                <w:rFonts w:eastAsia="Calibri"/>
                <w:szCs w:val="28"/>
                <w:lang w:eastAsia="vi-VN"/>
              </w:rPr>
            </w:pPr>
          </w:p>
        </w:tc>
      </w:tr>
    </w:tbl>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1C"/>
    <w:rsid w:val="00941A89"/>
    <w:rsid w:val="00CD6F1C"/>
    <w:rsid w:val="4165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 w:type="table" w:customStyle="1" w:styleId="6">
    <w:name w:val="Table Grid2"/>
    <w:basedOn w:val="3"/>
    <w:uiPriority w:val="99"/>
    <w:pPr>
      <w:spacing w:after="0" w:line="240" w:lineRule="auto"/>
    </w:pPr>
    <w:rPr>
      <w:rFonts w:ascii="Times New Roman" w:hAnsi="Times New Roman" w:eastAsia="Calibri" w:cs="Times New Roman"/>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1174</Words>
  <Characters>6698</Characters>
  <Lines>55</Lines>
  <Paragraphs>15</Paragraphs>
  <TotalTime>1</TotalTime>
  <ScaleCrop>false</ScaleCrop>
  <LinksUpToDate>false</LinksUpToDate>
  <CharactersWithSpaces>7857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2023-08-11T09:13:00Z</dcterms:created>
  <dc:creator>User</dc:creator>
  <cp:lastModifiedBy>Thảo Huỳnh</cp:lastModifiedBy>
  <dcterms:modified xsi:type="dcterms:W3CDTF">2023-10-24T04:29:50Z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5617AF7839BF461296DF019F8C4CF374_13</vt:lpwstr>
  </property>
</Properties>
</file>