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7A" w:rsidRPr="000273CE" w:rsidRDefault="00A2497A" w:rsidP="00A2497A">
      <w:pPr>
        <w:jc w:val="center"/>
        <w:rPr>
          <w:rFonts w:cs="Times New Roman"/>
          <w:b/>
          <w:bCs/>
          <w:sz w:val="26"/>
          <w:szCs w:val="26"/>
        </w:rPr>
      </w:pPr>
      <w:bookmarkStart w:id="0" w:name="_GoBack"/>
      <w:bookmarkEnd w:id="0"/>
      <w:r w:rsidRPr="000273CE">
        <w:rPr>
          <w:rFonts w:cs="Times New Roman"/>
          <w:b/>
          <w:bCs/>
          <w:sz w:val="26"/>
          <w:szCs w:val="26"/>
        </w:rPr>
        <w:t>PHẦN I</w:t>
      </w:r>
      <w:r w:rsidR="00F70E35" w:rsidRPr="000273CE">
        <w:rPr>
          <w:rFonts w:cs="Times New Roman"/>
          <w:b/>
          <w:bCs/>
          <w:sz w:val="26"/>
          <w:szCs w:val="26"/>
        </w:rPr>
        <w:t xml:space="preserve"> (tiếp theo)</w:t>
      </w:r>
    </w:p>
    <w:p w:rsidR="00A2497A" w:rsidRPr="000273CE" w:rsidRDefault="00A2497A" w:rsidP="00A2497A">
      <w:pPr>
        <w:jc w:val="center"/>
        <w:rPr>
          <w:rFonts w:cs="Times New Roman"/>
          <w:b/>
          <w:bCs/>
          <w:sz w:val="26"/>
          <w:szCs w:val="26"/>
        </w:rPr>
      </w:pPr>
      <w:r w:rsidRPr="000273CE">
        <w:rPr>
          <w:rFonts w:cs="Times New Roman"/>
          <w:b/>
          <w:bCs/>
          <w:sz w:val="26"/>
          <w:szCs w:val="26"/>
        </w:rPr>
        <w:t>DANH MỤC THỦ TỤC HÀNH CHÍNH MỚI BAN HÀNH</w:t>
      </w:r>
      <w:r w:rsidR="00D97D6F" w:rsidRPr="000273CE">
        <w:rPr>
          <w:rFonts w:cs="Times New Roman"/>
          <w:b/>
          <w:bCs/>
          <w:sz w:val="26"/>
          <w:szCs w:val="26"/>
        </w:rPr>
        <w:t xml:space="preserve">, </w:t>
      </w:r>
      <w:r w:rsidR="00F70E35" w:rsidRPr="000273CE">
        <w:rPr>
          <w:rFonts w:cs="Times New Roman"/>
          <w:b/>
          <w:bCs/>
          <w:sz w:val="26"/>
          <w:szCs w:val="26"/>
        </w:rPr>
        <w:t xml:space="preserve">THỦ TỤC HÀNH CHÍNH </w:t>
      </w:r>
      <w:r w:rsidR="00D97D6F" w:rsidRPr="000273CE">
        <w:rPr>
          <w:rFonts w:cs="Times New Roman"/>
          <w:b/>
          <w:bCs/>
          <w:sz w:val="26"/>
          <w:szCs w:val="26"/>
        </w:rPr>
        <w:t>BÃI BỎ</w:t>
      </w:r>
      <w:r w:rsidRPr="000273CE">
        <w:rPr>
          <w:rFonts w:cs="Times New Roman"/>
          <w:b/>
          <w:bCs/>
          <w:sz w:val="26"/>
          <w:szCs w:val="26"/>
        </w:rPr>
        <w:t xml:space="preserve"> LĨNH VỰC </w:t>
      </w:r>
      <w:r w:rsidR="00695458" w:rsidRPr="000273CE">
        <w:rPr>
          <w:rFonts w:cs="Times New Roman"/>
          <w:b/>
          <w:bCs/>
          <w:sz w:val="26"/>
          <w:szCs w:val="26"/>
        </w:rPr>
        <w:t>BẢO TRỢ</w:t>
      </w:r>
      <w:r w:rsidRPr="000273CE">
        <w:rPr>
          <w:rFonts w:cs="Times New Roman"/>
          <w:b/>
          <w:bCs/>
          <w:sz w:val="26"/>
          <w:szCs w:val="26"/>
        </w:rPr>
        <w:t xml:space="preserve"> XÃ HỘI THUỘC THẨM QUYỀN GIẢI QUYẾT CỦA ỦY BAN NHÂN DÂN CẤP XÃ</w:t>
      </w:r>
    </w:p>
    <w:p w:rsidR="00A2497A" w:rsidRPr="000273CE" w:rsidRDefault="00A2497A" w:rsidP="00A2497A">
      <w:pPr>
        <w:jc w:val="center"/>
        <w:rPr>
          <w:rFonts w:cs="Times New Roman"/>
          <w:i/>
          <w:iCs/>
          <w:sz w:val="26"/>
          <w:szCs w:val="26"/>
          <w:lang w:val="vi-VN"/>
        </w:rPr>
      </w:pPr>
      <w:r w:rsidRPr="000273CE">
        <w:rPr>
          <w:rFonts w:cs="Times New Roman"/>
          <w:i/>
          <w:iCs/>
          <w:sz w:val="26"/>
          <w:szCs w:val="26"/>
          <w:lang w:val="vi-VN"/>
        </w:rPr>
        <w:t xml:space="preserve">(Ban hành kèm theo Quyết định số          /QĐ-UBND-HC ngày     </w:t>
      </w:r>
      <w:r w:rsidR="00695458" w:rsidRPr="000273CE">
        <w:rPr>
          <w:rFonts w:cs="Times New Roman"/>
          <w:i/>
          <w:iCs/>
          <w:sz w:val="26"/>
          <w:szCs w:val="26"/>
        </w:rPr>
        <w:t>/</w:t>
      </w:r>
      <w:r w:rsidR="00F70E35" w:rsidRPr="000273CE">
        <w:rPr>
          <w:rFonts w:cs="Times New Roman"/>
          <w:i/>
          <w:iCs/>
          <w:sz w:val="26"/>
          <w:szCs w:val="26"/>
        </w:rPr>
        <w:t>6</w:t>
      </w:r>
      <w:r w:rsidRPr="000273CE">
        <w:rPr>
          <w:rFonts w:cs="Times New Roman"/>
          <w:i/>
          <w:iCs/>
          <w:sz w:val="26"/>
          <w:szCs w:val="26"/>
          <w:lang w:val="vi-VN"/>
        </w:rPr>
        <w:t>/20</w:t>
      </w:r>
      <w:r w:rsidRPr="000273CE">
        <w:rPr>
          <w:rFonts w:cs="Times New Roman"/>
          <w:i/>
          <w:iCs/>
          <w:sz w:val="26"/>
          <w:szCs w:val="26"/>
        </w:rPr>
        <w:t>2</w:t>
      </w:r>
      <w:r w:rsidR="00695458" w:rsidRPr="000273CE">
        <w:rPr>
          <w:rFonts w:cs="Times New Roman"/>
          <w:i/>
          <w:iCs/>
          <w:sz w:val="26"/>
          <w:szCs w:val="26"/>
        </w:rPr>
        <w:t>3</w:t>
      </w:r>
      <w:r w:rsidRPr="000273CE">
        <w:rPr>
          <w:rFonts w:cs="Times New Roman"/>
          <w:i/>
          <w:iCs/>
          <w:sz w:val="26"/>
          <w:szCs w:val="26"/>
          <w:lang w:val="vi-VN"/>
        </w:rPr>
        <w:t xml:space="preserve"> của Chủ tịch Ủy ban nhân dân tỉnh Đồng Tháp)</w:t>
      </w:r>
    </w:p>
    <w:p w:rsidR="00A2497A" w:rsidRPr="00EA3ACB" w:rsidRDefault="00A2497A" w:rsidP="00A2497A">
      <w:pPr>
        <w:spacing w:before="120" w:after="120"/>
        <w:jc w:val="both"/>
        <w:rPr>
          <w:rFonts w:cs="Times New Roman"/>
          <w:sz w:val="12"/>
          <w:szCs w:val="26"/>
        </w:rPr>
      </w:pPr>
      <w:r w:rsidRPr="000273CE">
        <w:rPr>
          <w:rFonts w:cs="Times New Roman"/>
          <w:sz w:val="26"/>
          <w:szCs w:val="26"/>
        </w:rPr>
        <mc:AlternateContent>
          <mc:Choice Requires="wps">
            <w:drawing>
              <wp:anchor distT="0" distB="0" distL="114300" distR="114300" simplePos="0" relativeHeight="251659264" behindDoc="0" locked="0" layoutInCell="1" allowOverlap="1" wp14:anchorId="0A45AF80" wp14:editId="2E6A6FBB">
                <wp:simplePos x="0" y="0"/>
                <wp:positionH relativeFrom="column">
                  <wp:posOffset>4074338</wp:posOffset>
                </wp:positionH>
                <wp:positionV relativeFrom="paragraph">
                  <wp:posOffset>51435</wp:posOffset>
                </wp:positionV>
                <wp:extent cx="790575" cy="0"/>
                <wp:effectExtent l="0" t="0" r="9525" b="19050"/>
                <wp:wrapNone/>
                <wp:docPr id="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1CDE5AAF" id="_x0000_t32" coordsize="21600,21600" o:spt="32" o:oned="t" path="m,l21600,21600e" filled="f">
                <v:path arrowok="t" fillok="f" o:connecttype="none"/>
                <o:lock v:ext="edit" shapetype="t"/>
              </v:shapetype>
              <v:shape id="AutoShape 195" o:spid="_x0000_s1026" type="#_x0000_t32" style="position:absolute;margin-left:320.8pt;margin-top:4.0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22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"/>
            </w:pict>
          </mc:Fallback>
        </mc:AlternateContent>
      </w:r>
      <w:r w:rsidRPr="000273CE">
        <w:rPr>
          <w:rFonts w:cs="Times New Roman"/>
          <w:sz w:val="26"/>
          <w:szCs w:val="26"/>
        </w:rPr>
        <w:tab/>
      </w:r>
    </w:p>
    <w:p w:rsidR="00A2497A" w:rsidRPr="000273CE" w:rsidRDefault="000268DA" w:rsidP="00A2497A">
      <w:pPr>
        <w:rPr>
          <w:rFonts w:eastAsia="Calibri" w:cs="Times New Roman"/>
          <w:b/>
          <w:noProof w:val="0"/>
          <w:sz w:val="26"/>
          <w:szCs w:val="26"/>
        </w:rPr>
      </w:pPr>
      <w:r w:rsidRPr="000273CE">
        <w:rPr>
          <w:rFonts w:eastAsia="Calibri" w:cs="Times New Roman"/>
          <w:b/>
          <w:noProof w:val="0"/>
          <w:sz w:val="26"/>
          <w:szCs w:val="26"/>
        </w:rPr>
        <w:tab/>
        <w:t>I. DANH MỤC THỦ TỤC HÀNH CHÍNH MỚI BAN HÀNH</w:t>
      </w:r>
    </w:p>
    <w:p w:rsidR="00A2497A" w:rsidRPr="00EA3ACB" w:rsidRDefault="00A2497A" w:rsidP="00A2497A">
      <w:pPr>
        <w:rPr>
          <w:rFonts w:eastAsia="Calibri" w:cs="Times New Roman"/>
          <w:b/>
          <w:noProof w:val="0"/>
          <w:sz w:val="12"/>
          <w:szCs w:val="28"/>
        </w:rPr>
      </w:pPr>
    </w:p>
    <w:tbl>
      <w:tblPr>
        <w:tblW w:w="15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2381"/>
        <w:gridCol w:w="1134"/>
        <w:gridCol w:w="1559"/>
        <w:gridCol w:w="993"/>
        <w:gridCol w:w="6425"/>
        <w:gridCol w:w="992"/>
        <w:gridCol w:w="962"/>
      </w:tblGrid>
      <w:tr w:rsidR="00AC2C97" w:rsidRPr="000273CE" w:rsidTr="00EA3ACB">
        <w:trPr>
          <w:trHeight w:val="315"/>
          <w:jc w:val="center"/>
        </w:trPr>
        <w:tc>
          <w:tcPr>
            <w:tcW w:w="591" w:type="dxa"/>
            <w:vMerge w:val="restart"/>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TT</w:t>
            </w:r>
          </w:p>
        </w:tc>
        <w:tc>
          <w:tcPr>
            <w:tcW w:w="2381" w:type="dxa"/>
            <w:vMerge w:val="restart"/>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Tên thủ tục hành chính</w:t>
            </w:r>
          </w:p>
        </w:tc>
        <w:tc>
          <w:tcPr>
            <w:tcW w:w="1134" w:type="dxa"/>
            <w:vMerge w:val="restart"/>
            <w:vAlign w:val="center"/>
          </w:tcPr>
          <w:p w:rsidR="00F46DAC" w:rsidRPr="000273CE" w:rsidRDefault="00F46DAC" w:rsidP="00332BB1">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Thời hạn</w:t>
            </w:r>
            <w:r w:rsidR="00332BB1" w:rsidRPr="000273CE">
              <w:rPr>
                <w:rFonts w:eastAsia="Calibri" w:cs="Times New Roman"/>
                <w:b/>
                <w:bCs/>
                <w:noProof w:val="0"/>
                <w:sz w:val="24"/>
                <w:szCs w:val="24"/>
              </w:rPr>
              <w:t xml:space="preserve"> </w:t>
            </w:r>
            <w:r w:rsidRPr="000273CE">
              <w:rPr>
                <w:rFonts w:eastAsia="Calibri" w:cs="Times New Roman"/>
                <w:b/>
                <w:bCs/>
                <w:noProof w:val="0"/>
                <w:sz w:val="24"/>
                <w:szCs w:val="24"/>
              </w:rPr>
              <w:t>giải quyết</w:t>
            </w:r>
          </w:p>
        </w:tc>
        <w:tc>
          <w:tcPr>
            <w:tcW w:w="1559" w:type="dxa"/>
            <w:vMerge w:val="restart"/>
            <w:vAlign w:val="center"/>
          </w:tcPr>
          <w:p w:rsidR="00F46DAC" w:rsidRPr="000273CE" w:rsidRDefault="00F46DAC" w:rsidP="00332BB1">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Địa điểm</w:t>
            </w:r>
            <w:r w:rsidR="00332BB1" w:rsidRPr="000273CE">
              <w:rPr>
                <w:rFonts w:eastAsia="Calibri" w:cs="Times New Roman"/>
                <w:b/>
                <w:bCs/>
                <w:noProof w:val="0"/>
                <w:sz w:val="24"/>
                <w:szCs w:val="24"/>
              </w:rPr>
              <w:t xml:space="preserve"> </w:t>
            </w:r>
            <w:r w:rsidRPr="000273CE">
              <w:rPr>
                <w:rFonts w:eastAsia="Calibri" w:cs="Times New Roman"/>
                <w:b/>
                <w:bCs/>
                <w:noProof w:val="0"/>
                <w:sz w:val="24"/>
                <w:szCs w:val="24"/>
              </w:rPr>
              <w:t>thực hiện</w:t>
            </w:r>
          </w:p>
        </w:tc>
        <w:tc>
          <w:tcPr>
            <w:tcW w:w="993" w:type="dxa"/>
            <w:vMerge w:val="restart"/>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 xml:space="preserve">Phí, lệ phí </w:t>
            </w:r>
          </w:p>
        </w:tc>
        <w:tc>
          <w:tcPr>
            <w:tcW w:w="6425" w:type="dxa"/>
            <w:vMerge w:val="restart"/>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Tên VBQPPL quy định nội dung TTHC</w:t>
            </w:r>
          </w:p>
        </w:tc>
        <w:tc>
          <w:tcPr>
            <w:tcW w:w="1954" w:type="dxa"/>
            <w:gridSpan w:val="2"/>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Cách thức thực hiện</w:t>
            </w:r>
          </w:p>
        </w:tc>
      </w:tr>
      <w:tr w:rsidR="00AC2C97" w:rsidRPr="000273CE" w:rsidTr="00EA3ACB">
        <w:trPr>
          <w:trHeight w:val="315"/>
          <w:jc w:val="center"/>
        </w:trPr>
        <w:tc>
          <w:tcPr>
            <w:tcW w:w="591"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2381"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1134"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1559"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993"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6425" w:type="dxa"/>
            <w:vMerge/>
            <w:vAlign w:val="center"/>
          </w:tcPr>
          <w:p w:rsidR="00F46DAC" w:rsidRPr="000273CE" w:rsidRDefault="00F46DAC" w:rsidP="00127A80">
            <w:pPr>
              <w:spacing w:before="120" w:after="120"/>
              <w:jc w:val="center"/>
              <w:rPr>
                <w:rFonts w:eastAsia="Calibri" w:cs="Times New Roman"/>
                <w:b/>
                <w:bCs/>
                <w:noProof w:val="0"/>
                <w:sz w:val="24"/>
                <w:szCs w:val="24"/>
              </w:rPr>
            </w:pPr>
          </w:p>
        </w:tc>
        <w:tc>
          <w:tcPr>
            <w:tcW w:w="992" w:type="dxa"/>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Nộp hồ sơ</w:t>
            </w:r>
          </w:p>
        </w:tc>
        <w:tc>
          <w:tcPr>
            <w:tcW w:w="962" w:type="dxa"/>
            <w:vAlign w:val="center"/>
          </w:tcPr>
          <w:p w:rsidR="00F46DAC" w:rsidRPr="000273CE" w:rsidRDefault="00F46DAC" w:rsidP="00127A80">
            <w:pPr>
              <w:spacing w:before="120" w:after="120"/>
              <w:jc w:val="center"/>
              <w:rPr>
                <w:rFonts w:eastAsia="Calibri" w:cs="Times New Roman"/>
                <w:b/>
                <w:bCs/>
                <w:noProof w:val="0"/>
                <w:sz w:val="24"/>
                <w:szCs w:val="24"/>
              </w:rPr>
            </w:pPr>
            <w:r w:rsidRPr="000273CE">
              <w:rPr>
                <w:rFonts w:eastAsia="Calibri" w:cs="Times New Roman"/>
                <w:b/>
                <w:bCs/>
                <w:noProof w:val="0"/>
                <w:sz w:val="24"/>
                <w:szCs w:val="24"/>
              </w:rPr>
              <w:t>Trả hồ sơ</w:t>
            </w:r>
          </w:p>
        </w:tc>
      </w:tr>
      <w:tr w:rsidR="000273CE" w:rsidRPr="000273CE" w:rsidTr="00EA3ACB">
        <w:trPr>
          <w:trHeight w:val="315"/>
          <w:jc w:val="center"/>
        </w:trPr>
        <w:tc>
          <w:tcPr>
            <w:tcW w:w="591" w:type="dxa"/>
            <w:vAlign w:val="center"/>
          </w:tcPr>
          <w:p w:rsidR="000273CE" w:rsidRPr="000273CE" w:rsidRDefault="000273CE" w:rsidP="004D47DD">
            <w:pPr>
              <w:pStyle w:val="ListParagraph"/>
              <w:numPr>
                <w:ilvl w:val="0"/>
                <w:numId w:val="2"/>
              </w:numPr>
              <w:spacing w:before="120" w:after="120"/>
              <w:jc w:val="center"/>
              <w:rPr>
                <w:rFonts w:eastAsia="Calibri" w:cs="Times New Roman"/>
                <w:bCs/>
                <w:noProof w:val="0"/>
                <w:sz w:val="26"/>
                <w:szCs w:val="26"/>
              </w:rPr>
            </w:pPr>
          </w:p>
        </w:tc>
        <w:tc>
          <w:tcPr>
            <w:tcW w:w="2381" w:type="dxa"/>
            <w:vAlign w:val="center"/>
          </w:tcPr>
          <w:p w:rsidR="000273CE" w:rsidRPr="000273CE" w:rsidRDefault="000273CE" w:rsidP="004D47DD">
            <w:pPr>
              <w:spacing w:before="120" w:after="120"/>
              <w:jc w:val="both"/>
              <w:rPr>
                <w:rFonts w:eastAsia="Calibri" w:cs="Times New Roman"/>
                <w:bCs/>
                <w:noProof w:val="0"/>
                <w:sz w:val="26"/>
                <w:szCs w:val="26"/>
              </w:rPr>
            </w:pPr>
            <w:r w:rsidRPr="000273CE">
              <w:rPr>
                <w:rFonts w:eastAsia="Calibri" w:cs="Times New Roman"/>
                <w:bCs/>
                <w:noProof w:val="0"/>
                <w:sz w:val="26"/>
                <w:szCs w:val="26"/>
              </w:rPr>
              <w:t>Công nhận hộ nghèo, hộ cận nghèo thường xuyên hằng năm</w:t>
            </w:r>
          </w:p>
        </w:tc>
        <w:tc>
          <w:tcPr>
            <w:tcW w:w="1134" w:type="dxa"/>
            <w:vAlign w:val="center"/>
          </w:tcPr>
          <w:p w:rsidR="000273CE" w:rsidRPr="000273CE" w:rsidRDefault="000273CE" w:rsidP="004D47DD">
            <w:pPr>
              <w:spacing w:before="120" w:after="120"/>
              <w:jc w:val="both"/>
              <w:rPr>
                <w:rFonts w:eastAsia="Calibri" w:cs="Times New Roman"/>
                <w:bCs/>
                <w:noProof w:val="0"/>
                <w:sz w:val="26"/>
                <w:szCs w:val="26"/>
              </w:rPr>
            </w:pPr>
            <w:r w:rsidRPr="000273CE">
              <w:rPr>
                <w:rFonts w:eastAsia="Calibri" w:cs="Times New Roman"/>
                <w:bCs/>
                <w:noProof w:val="0"/>
                <w:sz w:val="26"/>
                <w:szCs w:val="26"/>
              </w:rPr>
              <w:t>15 ngày làm việc kể từ ngày rà soát</w:t>
            </w:r>
          </w:p>
        </w:tc>
        <w:tc>
          <w:tcPr>
            <w:tcW w:w="1559" w:type="dxa"/>
            <w:vAlign w:val="center"/>
          </w:tcPr>
          <w:p w:rsidR="000273CE" w:rsidRPr="000273CE" w:rsidRDefault="000273CE" w:rsidP="004D47DD">
            <w:pPr>
              <w:spacing w:before="120" w:after="120"/>
              <w:jc w:val="center"/>
              <w:rPr>
                <w:rFonts w:eastAsia="Calibri" w:cs="Times New Roman"/>
                <w:bCs/>
                <w:noProof w:val="0"/>
                <w:sz w:val="26"/>
                <w:szCs w:val="26"/>
              </w:rPr>
            </w:pPr>
            <w:r w:rsidRPr="000273CE">
              <w:rPr>
                <w:rFonts w:eastAsia="Calibri" w:cs="Times New Roman"/>
                <w:bCs/>
                <w:noProof w:val="0"/>
                <w:sz w:val="26"/>
                <w:szCs w:val="26"/>
              </w:rPr>
              <w:t>Bộ phận tiếp nhận và trả kết quả thuộc Ủy ban nhân dân cấp xã</w:t>
            </w:r>
          </w:p>
        </w:tc>
        <w:tc>
          <w:tcPr>
            <w:tcW w:w="993" w:type="dxa"/>
            <w:vAlign w:val="center"/>
          </w:tcPr>
          <w:p w:rsidR="000273CE" w:rsidRPr="000273CE" w:rsidRDefault="000273CE" w:rsidP="004D47DD">
            <w:pPr>
              <w:spacing w:before="120" w:after="120"/>
              <w:ind w:hanging="12"/>
              <w:jc w:val="center"/>
              <w:rPr>
                <w:rFonts w:eastAsia="Calibri" w:cs="Times New Roman"/>
                <w:noProof w:val="0"/>
                <w:sz w:val="26"/>
                <w:szCs w:val="26"/>
              </w:rPr>
            </w:pPr>
            <w:r w:rsidRPr="000273CE">
              <w:rPr>
                <w:rFonts w:eastAsia="Calibri" w:cs="Times New Roman"/>
                <w:noProof w:val="0"/>
                <w:sz w:val="26"/>
                <w:szCs w:val="26"/>
              </w:rPr>
              <w:t>Không</w:t>
            </w:r>
          </w:p>
        </w:tc>
        <w:tc>
          <w:tcPr>
            <w:tcW w:w="6425" w:type="dxa"/>
            <w:vMerge w:val="restart"/>
            <w:vAlign w:val="center"/>
          </w:tcPr>
          <w:p w:rsidR="000273CE" w:rsidRPr="000273CE" w:rsidRDefault="000273CE" w:rsidP="002D091F">
            <w:pPr>
              <w:spacing w:before="120" w:after="120"/>
              <w:jc w:val="both"/>
              <w:rPr>
                <w:rFonts w:cs="Times New Roman"/>
                <w:noProof w:val="0"/>
                <w:sz w:val="26"/>
                <w:szCs w:val="26"/>
                <w:lang w:val="nl-NL"/>
              </w:rPr>
            </w:pPr>
            <w:r w:rsidRPr="000273CE">
              <w:rPr>
                <w:rFonts w:cs="Times New Roman"/>
                <w:noProof w:val="0"/>
                <w:sz w:val="26"/>
                <w:szCs w:val="26"/>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0273CE" w:rsidRPr="000273CE" w:rsidRDefault="000273CE" w:rsidP="002D091F">
            <w:pPr>
              <w:spacing w:before="120" w:after="120"/>
              <w:jc w:val="both"/>
              <w:rPr>
                <w:rFonts w:cs="Times New Roman"/>
                <w:noProof w:val="0"/>
                <w:sz w:val="26"/>
                <w:szCs w:val="26"/>
                <w:lang w:val="nl-NL"/>
              </w:rPr>
            </w:pPr>
            <w:r w:rsidRPr="000273CE">
              <w:rPr>
                <w:rFonts w:cs="Times New Roman"/>
                <w:noProof w:val="0"/>
                <w:sz w:val="26"/>
                <w:szCs w:val="26"/>
                <w:lang w:val="nl-NL"/>
              </w:rPr>
              <w:t xml:space="preserve">- Thông tư số 07/2021/TT-BLĐTBXH ngày 18/7/2021 của Bộ </w:t>
            </w:r>
            <w:r w:rsidR="00EA3ACB">
              <w:rPr>
                <w:rFonts w:cs="Times New Roman"/>
                <w:noProof w:val="0"/>
                <w:sz w:val="26"/>
                <w:szCs w:val="26"/>
                <w:lang w:val="nl-NL"/>
              </w:rPr>
              <w:t>LĐ-TB&amp;XH</w:t>
            </w:r>
            <w:r w:rsidR="00EA3ACB" w:rsidRPr="000273CE">
              <w:rPr>
                <w:rFonts w:cs="Times New Roman"/>
                <w:noProof w:val="0"/>
                <w:sz w:val="26"/>
                <w:szCs w:val="26"/>
                <w:lang w:val="nl-NL"/>
              </w:rPr>
              <w:t xml:space="preserve"> </w:t>
            </w:r>
            <w:r w:rsidRPr="000273CE">
              <w:rPr>
                <w:rFonts w:cs="Times New Roman"/>
                <w:noProof w:val="0"/>
                <w:sz w:val="26"/>
                <w:szCs w:val="26"/>
                <w:lang w:val="nl-NL"/>
              </w:rPr>
              <w:t>hướng dẫn phương pháp rà soát, phân loại hộ nghèo, hộ cận nghèo; xác định thu nhập của hộ làm nông nghiệp, lâm nghiệp, ngư nhgiệp, diêm nghiệp có mức sống trung bình giai đoạn 2022 – 2025 và mẫu biểu báo cáo.</w:t>
            </w:r>
          </w:p>
          <w:p w:rsidR="000273CE" w:rsidRPr="000273CE" w:rsidRDefault="000273CE" w:rsidP="000273CE">
            <w:pPr>
              <w:spacing w:before="120" w:after="120"/>
              <w:jc w:val="both"/>
              <w:rPr>
                <w:rFonts w:eastAsia="Calibri" w:cs="Times New Roman"/>
                <w:noProof w:val="0"/>
                <w:sz w:val="26"/>
                <w:szCs w:val="26"/>
                <w:lang w:val="pt-BR"/>
              </w:rPr>
            </w:pPr>
            <w:r w:rsidRPr="000273CE">
              <w:rPr>
                <w:rFonts w:cs="Times New Roman"/>
                <w:noProof w:val="0"/>
                <w:sz w:val="26"/>
                <w:szCs w:val="26"/>
                <w:lang w:val="nl-NL"/>
              </w:rPr>
              <w:t xml:space="preserve">- Thông tư số 02/2022/TT-BLĐTBXH ngày 30/3/2022 của Bộ trưởng Bộ Lao động – Thương binh và Xã hội sửa đổi, bổ sung một số nội dung của Thông tư số 07/2021/TT-BLĐTBXH ngày 18/7/2021 của Bộ </w:t>
            </w:r>
            <w:r>
              <w:rPr>
                <w:rFonts w:cs="Times New Roman"/>
                <w:noProof w:val="0"/>
                <w:sz w:val="26"/>
                <w:szCs w:val="26"/>
                <w:lang w:val="nl-NL"/>
              </w:rPr>
              <w:t>LĐ</w:t>
            </w:r>
            <w:r w:rsidR="00EA3ACB">
              <w:rPr>
                <w:rFonts w:cs="Times New Roman"/>
                <w:noProof w:val="0"/>
                <w:sz w:val="26"/>
                <w:szCs w:val="26"/>
                <w:lang w:val="nl-NL"/>
              </w:rPr>
              <w:t>-</w:t>
            </w:r>
            <w:r>
              <w:rPr>
                <w:rFonts w:cs="Times New Roman"/>
                <w:noProof w:val="0"/>
                <w:sz w:val="26"/>
                <w:szCs w:val="26"/>
                <w:lang w:val="nl-NL"/>
              </w:rPr>
              <w:t>TB&amp;XH</w:t>
            </w:r>
            <w:r w:rsidRPr="000273CE">
              <w:rPr>
                <w:rFonts w:cs="Times New Roman"/>
                <w:noProof w:val="0"/>
                <w:sz w:val="26"/>
                <w:szCs w:val="26"/>
                <w:lang w:val="nl-NL"/>
              </w:rPr>
              <w:t xml:space="preserve"> hướng dẫn phương pháp rà soát, phân loại hộ nghèo, hộ cận nghèo; xác định thu nhập của hộ làm nông nghiệp, lâm nghiệp, ngư nghiệp, diêm nghiệp có mức sống trung bình giai đoạn 2022 – 2025 và mẫu biểu báo cáo.</w:t>
            </w:r>
          </w:p>
        </w:tc>
        <w:tc>
          <w:tcPr>
            <w:tcW w:w="992" w:type="dxa"/>
            <w:vMerge w:val="restart"/>
            <w:vAlign w:val="center"/>
          </w:tcPr>
          <w:p w:rsidR="000273CE" w:rsidRPr="000273CE" w:rsidRDefault="000273CE" w:rsidP="004D47DD">
            <w:pPr>
              <w:spacing w:before="120" w:after="120"/>
              <w:jc w:val="both"/>
              <w:rPr>
                <w:rFonts w:eastAsia="Calibri" w:cs="Times New Roman"/>
                <w:noProof w:val="0"/>
                <w:sz w:val="26"/>
                <w:szCs w:val="26"/>
                <w:lang w:val="pt-BR"/>
              </w:rPr>
            </w:pPr>
            <w:r w:rsidRPr="000273CE">
              <w:rPr>
                <w:rFonts w:eastAsia="Calibri" w:cs="Times New Roman"/>
                <w:noProof w:val="0"/>
                <w:sz w:val="26"/>
                <w:szCs w:val="26"/>
                <w:lang w:val="pt-BR"/>
              </w:rPr>
              <w:t>- Trực tiếp;</w:t>
            </w:r>
          </w:p>
          <w:p w:rsidR="000273CE" w:rsidRPr="000273CE" w:rsidRDefault="000273CE" w:rsidP="004D47DD">
            <w:pPr>
              <w:spacing w:before="120" w:after="120"/>
              <w:jc w:val="both"/>
              <w:rPr>
                <w:rFonts w:eastAsia="Calibri" w:cs="Times New Roman"/>
                <w:noProof w:val="0"/>
                <w:sz w:val="26"/>
                <w:szCs w:val="26"/>
                <w:lang w:val="pt-BR"/>
              </w:rPr>
            </w:pPr>
            <w:r w:rsidRPr="000273CE">
              <w:rPr>
                <w:rFonts w:eastAsia="Calibri" w:cs="Times New Roman"/>
                <w:noProof w:val="0"/>
                <w:sz w:val="26"/>
                <w:szCs w:val="26"/>
                <w:lang w:val="pt-BR"/>
              </w:rPr>
              <w:t>- Qua dịch vụ BCCI;</w:t>
            </w:r>
          </w:p>
          <w:p w:rsidR="000273CE" w:rsidRPr="000273CE" w:rsidRDefault="000273CE" w:rsidP="004D47DD">
            <w:pPr>
              <w:spacing w:before="120" w:after="120"/>
              <w:jc w:val="both"/>
              <w:rPr>
                <w:rFonts w:eastAsia="Calibri" w:cs="Times New Roman"/>
                <w:noProof w:val="0"/>
                <w:sz w:val="26"/>
                <w:szCs w:val="26"/>
                <w:lang w:val="pt-BR"/>
              </w:rPr>
            </w:pPr>
            <w:r w:rsidRPr="000273CE">
              <w:rPr>
                <w:rFonts w:eastAsia="Calibri" w:cs="Times New Roman"/>
                <w:noProof w:val="0"/>
                <w:sz w:val="26"/>
                <w:szCs w:val="26"/>
                <w:lang w:val="hr-HR"/>
              </w:rPr>
              <w:t>- Qua dịch vụ công trực tuyến (mức 4).</w:t>
            </w:r>
          </w:p>
        </w:tc>
        <w:tc>
          <w:tcPr>
            <w:tcW w:w="962" w:type="dxa"/>
            <w:vMerge w:val="restart"/>
            <w:vAlign w:val="center"/>
          </w:tcPr>
          <w:p w:rsidR="000273CE" w:rsidRPr="000273CE" w:rsidRDefault="000273CE" w:rsidP="004D47DD">
            <w:pPr>
              <w:spacing w:before="120" w:after="120"/>
              <w:jc w:val="both"/>
              <w:rPr>
                <w:rFonts w:eastAsia="Calibri" w:cs="Times New Roman"/>
                <w:noProof w:val="0"/>
                <w:sz w:val="26"/>
                <w:szCs w:val="26"/>
              </w:rPr>
            </w:pPr>
            <w:r w:rsidRPr="000273CE">
              <w:rPr>
                <w:rFonts w:eastAsia="Calibri" w:cs="Times New Roman"/>
                <w:noProof w:val="0"/>
                <w:sz w:val="26"/>
                <w:szCs w:val="26"/>
              </w:rPr>
              <w:t>- Trực tiếp;</w:t>
            </w:r>
          </w:p>
          <w:p w:rsidR="000273CE" w:rsidRPr="000273CE" w:rsidRDefault="000273CE" w:rsidP="004D47DD">
            <w:pPr>
              <w:spacing w:before="120" w:after="120"/>
              <w:jc w:val="both"/>
              <w:rPr>
                <w:rFonts w:eastAsia="Calibri" w:cs="Times New Roman"/>
                <w:noProof w:val="0"/>
                <w:sz w:val="26"/>
                <w:szCs w:val="26"/>
                <w:lang w:val="pt-BR"/>
              </w:rPr>
            </w:pPr>
            <w:r w:rsidRPr="000273CE">
              <w:rPr>
                <w:rFonts w:eastAsia="Calibri" w:cs="Times New Roman"/>
                <w:noProof w:val="0"/>
                <w:sz w:val="26"/>
                <w:szCs w:val="26"/>
                <w:lang w:val="pt-BR"/>
              </w:rPr>
              <w:t>- Qua dịch vụ BCCI;</w:t>
            </w:r>
          </w:p>
          <w:p w:rsidR="000273CE" w:rsidRPr="000273CE" w:rsidRDefault="000273CE" w:rsidP="004D47DD">
            <w:pPr>
              <w:spacing w:before="120" w:after="120"/>
              <w:jc w:val="both"/>
              <w:rPr>
                <w:rFonts w:eastAsia="Calibri" w:cs="Times New Roman"/>
                <w:noProof w:val="0"/>
                <w:sz w:val="26"/>
                <w:szCs w:val="26"/>
              </w:rPr>
            </w:pPr>
            <w:r w:rsidRPr="000273CE">
              <w:rPr>
                <w:rFonts w:eastAsia="Calibri" w:cs="Times New Roman"/>
                <w:noProof w:val="0"/>
                <w:sz w:val="26"/>
                <w:szCs w:val="26"/>
                <w:lang w:val="hr-HR"/>
              </w:rPr>
              <w:t>- Qua dịch vụ công trực tuyến (mức 4).</w:t>
            </w:r>
          </w:p>
        </w:tc>
      </w:tr>
      <w:tr w:rsidR="000273CE" w:rsidRPr="000273CE" w:rsidTr="00EA3ACB">
        <w:trPr>
          <w:trHeight w:val="315"/>
          <w:jc w:val="center"/>
        </w:trPr>
        <w:tc>
          <w:tcPr>
            <w:tcW w:w="591" w:type="dxa"/>
            <w:vAlign w:val="center"/>
          </w:tcPr>
          <w:p w:rsidR="000273CE" w:rsidRPr="000273CE" w:rsidRDefault="000273CE" w:rsidP="004D47DD">
            <w:pPr>
              <w:pStyle w:val="ListParagraph"/>
              <w:numPr>
                <w:ilvl w:val="0"/>
                <w:numId w:val="2"/>
              </w:numPr>
              <w:spacing w:before="120" w:after="120"/>
              <w:jc w:val="center"/>
              <w:rPr>
                <w:rFonts w:eastAsia="Calibri" w:cs="Times New Roman"/>
                <w:bCs/>
                <w:noProof w:val="0"/>
                <w:sz w:val="26"/>
                <w:szCs w:val="26"/>
              </w:rPr>
            </w:pPr>
          </w:p>
        </w:tc>
        <w:tc>
          <w:tcPr>
            <w:tcW w:w="2381" w:type="dxa"/>
            <w:vAlign w:val="center"/>
          </w:tcPr>
          <w:p w:rsidR="000273CE" w:rsidRPr="000273CE" w:rsidRDefault="000273CE" w:rsidP="004D47DD">
            <w:pPr>
              <w:spacing w:before="120" w:after="120"/>
              <w:jc w:val="both"/>
              <w:rPr>
                <w:rFonts w:eastAsia="Calibri" w:cs="Times New Roman"/>
                <w:bCs/>
                <w:noProof w:val="0"/>
                <w:sz w:val="26"/>
                <w:szCs w:val="26"/>
              </w:rPr>
            </w:pPr>
            <w:r w:rsidRPr="000273CE">
              <w:rPr>
                <w:rFonts w:eastAsia="Calibri" w:cs="Times New Roman"/>
                <w:bCs/>
                <w:noProof w:val="0"/>
                <w:sz w:val="26"/>
                <w:szCs w:val="26"/>
              </w:rPr>
              <w:t>Công nhận hộ thoát nghèo, hộ thoát cận nghèo thường xuyên hằng năm</w:t>
            </w:r>
          </w:p>
        </w:tc>
        <w:tc>
          <w:tcPr>
            <w:tcW w:w="1134" w:type="dxa"/>
            <w:vAlign w:val="center"/>
          </w:tcPr>
          <w:p w:rsidR="000273CE" w:rsidRPr="000273CE" w:rsidRDefault="000273CE" w:rsidP="004D47DD">
            <w:pPr>
              <w:spacing w:before="120" w:after="120"/>
              <w:jc w:val="both"/>
              <w:rPr>
                <w:rFonts w:eastAsia="Calibri" w:cs="Times New Roman"/>
                <w:bCs/>
                <w:noProof w:val="0"/>
                <w:sz w:val="26"/>
                <w:szCs w:val="26"/>
              </w:rPr>
            </w:pPr>
            <w:r w:rsidRPr="000273CE">
              <w:rPr>
                <w:rFonts w:eastAsia="Calibri" w:cs="Times New Roman"/>
                <w:bCs/>
                <w:noProof w:val="0"/>
                <w:sz w:val="26"/>
                <w:szCs w:val="26"/>
              </w:rPr>
              <w:t>15 ngày làm việc kể từ ngày rà soát</w:t>
            </w:r>
          </w:p>
        </w:tc>
        <w:tc>
          <w:tcPr>
            <w:tcW w:w="1559" w:type="dxa"/>
            <w:vAlign w:val="center"/>
          </w:tcPr>
          <w:p w:rsidR="000273CE" w:rsidRPr="000273CE" w:rsidRDefault="000273CE" w:rsidP="004D47DD">
            <w:pPr>
              <w:spacing w:before="120" w:after="120"/>
              <w:jc w:val="center"/>
              <w:rPr>
                <w:rFonts w:eastAsia="Calibri" w:cs="Times New Roman"/>
                <w:bCs/>
                <w:noProof w:val="0"/>
                <w:sz w:val="26"/>
                <w:szCs w:val="26"/>
              </w:rPr>
            </w:pPr>
            <w:r w:rsidRPr="000273CE">
              <w:rPr>
                <w:rFonts w:eastAsia="Calibri" w:cs="Times New Roman"/>
                <w:bCs/>
                <w:noProof w:val="0"/>
                <w:sz w:val="26"/>
                <w:szCs w:val="26"/>
              </w:rPr>
              <w:t>Bộ phận tiếp nhận và trả kết quả thuộc Ủy ban nhân dân cấp xã</w:t>
            </w:r>
          </w:p>
        </w:tc>
        <w:tc>
          <w:tcPr>
            <w:tcW w:w="993" w:type="dxa"/>
            <w:vAlign w:val="center"/>
          </w:tcPr>
          <w:p w:rsidR="000273CE" w:rsidRPr="000273CE" w:rsidRDefault="000273CE" w:rsidP="004D47DD">
            <w:pPr>
              <w:spacing w:before="120" w:after="120"/>
              <w:ind w:hanging="12"/>
              <w:jc w:val="center"/>
              <w:rPr>
                <w:rFonts w:eastAsia="Calibri" w:cs="Times New Roman"/>
                <w:noProof w:val="0"/>
                <w:sz w:val="26"/>
                <w:szCs w:val="26"/>
              </w:rPr>
            </w:pPr>
            <w:r w:rsidRPr="000273CE">
              <w:rPr>
                <w:rFonts w:eastAsia="Calibri" w:cs="Times New Roman"/>
                <w:noProof w:val="0"/>
                <w:sz w:val="26"/>
                <w:szCs w:val="26"/>
              </w:rPr>
              <w:t>Không</w:t>
            </w:r>
          </w:p>
        </w:tc>
        <w:tc>
          <w:tcPr>
            <w:tcW w:w="6425" w:type="dxa"/>
            <w:vMerge/>
            <w:vAlign w:val="center"/>
          </w:tcPr>
          <w:p w:rsidR="000273CE" w:rsidRPr="000273CE" w:rsidRDefault="000273CE" w:rsidP="004D47DD">
            <w:pPr>
              <w:spacing w:before="120" w:after="120"/>
              <w:jc w:val="both"/>
              <w:rPr>
                <w:rFonts w:eastAsia="Calibri" w:cs="Times New Roman"/>
                <w:noProof w:val="0"/>
                <w:sz w:val="26"/>
                <w:szCs w:val="26"/>
                <w:lang w:val="pt-BR"/>
              </w:rPr>
            </w:pPr>
          </w:p>
        </w:tc>
        <w:tc>
          <w:tcPr>
            <w:tcW w:w="992" w:type="dxa"/>
            <w:vMerge/>
            <w:vAlign w:val="center"/>
          </w:tcPr>
          <w:p w:rsidR="000273CE" w:rsidRPr="000273CE" w:rsidRDefault="000273CE" w:rsidP="004D47DD">
            <w:pPr>
              <w:spacing w:before="120" w:after="120"/>
              <w:jc w:val="both"/>
              <w:rPr>
                <w:rFonts w:eastAsia="Calibri" w:cs="Times New Roman"/>
                <w:noProof w:val="0"/>
                <w:sz w:val="26"/>
                <w:szCs w:val="26"/>
                <w:lang w:val="pt-BR"/>
              </w:rPr>
            </w:pPr>
          </w:p>
        </w:tc>
        <w:tc>
          <w:tcPr>
            <w:tcW w:w="962" w:type="dxa"/>
            <w:vMerge/>
            <w:vAlign w:val="center"/>
          </w:tcPr>
          <w:p w:rsidR="000273CE" w:rsidRPr="000273CE" w:rsidRDefault="000273CE" w:rsidP="004D47DD">
            <w:pPr>
              <w:spacing w:before="120" w:after="120"/>
              <w:jc w:val="both"/>
              <w:rPr>
                <w:rFonts w:eastAsia="Calibri" w:cs="Times New Roman"/>
                <w:noProof w:val="0"/>
                <w:sz w:val="26"/>
                <w:szCs w:val="26"/>
              </w:rPr>
            </w:pPr>
          </w:p>
        </w:tc>
      </w:tr>
      <w:tr w:rsidR="000273CE" w:rsidRPr="000273CE" w:rsidTr="00EA3ACB">
        <w:trPr>
          <w:trHeight w:val="315"/>
          <w:jc w:val="center"/>
        </w:trPr>
        <w:tc>
          <w:tcPr>
            <w:tcW w:w="591" w:type="dxa"/>
            <w:vAlign w:val="center"/>
          </w:tcPr>
          <w:p w:rsidR="000273CE" w:rsidRPr="000273CE" w:rsidRDefault="000273CE" w:rsidP="004D47DD">
            <w:pPr>
              <w:pStyle w:val="ListParagraph"/>
              <w:numPr>
                <w:ilvl w:val="0"/>
                <w:numId w:val="2"/>
              </w:numPr>
              <w:spacing w:before="120" w:after="120"/>
              <w:jc w:val="center"/>
              <w:rPr>
                <w:rFonts w:eastAsia="Calibri" w:cs="Times New Roman"/>
                <w:bCs/>
                <w:noProof w:val="0"/>
                <w:sz w:val="26"/>
                <w:szCs w:val="26"/>
              </w:rPr>
            </w:pPr>
          </w:p>
        </w:tc>
        <w:tc>
          <w:tcPr>
            <w:tcW w:w="2381" w:type="dxa"/>
            <w:vAlign w:val="center"/>
          </w:tcPr>
          <w:p w:rsidR="000273CE" w:rsidRPr="000273CE" w:rsidRDefault="000273CE" w:rsidP="004D47DD">
            <w:pPr>
              <w:spacing w:before="120" w:after="120"/>
              <w:jc w:val="both"/>
              <w:rPr>
                <w:rFonts w:eastAsia="Calibri" w:cs="Times New Roman"/>
                <w:bCs/>
                <w:noProof w:val="0"/>
                <w:sz w:val="26"/>
                <w:szCs w:val="26"/>
              </w:rPr>
            </w:pPr>
            <w:r w:rsidRPr="000273CE">
              <w:rPr>
                <w:rFonts w:eastAsia="Calibri" w:cs="Times New Roman"/>
                <w:bCs/>
                <w:noProof w:val="0"/>
                <w:sz w:val="26"/>
                <w:szCs w:val="26"/>
              </w:rPr>
              <w:t>Công nhận hộ làm nông nghiệp, lâm nghiệp, ngư nghiệp và diêm nghiệp có mức sống trung bình</w:t>
            </w:r>
          </w:p>
        </w:tc>
        <w:tc>
          <w:tcPr>
            <w:tcW w:w="1134" w:type="dxa"/>
            <w:vAlign w:val="center"/>
          </w:tcPr>
          <w:p w:rsidR="000273CE" w:rsidRPr="000273CE" w:rsidRDefault="000273CE" w:rsidP="007B4C46">
            <w:pPr>
              <w:spacing w:before="120" w:after="120"/>
              <w:jc w:val="both"/>
              <w:rPr>
                <w:rFonts w:eastAsia="Calibri" w:cs="Times New Roman"/>
                <w:bCs/>
                <w:noProof w:val="0"/>
                <w:sz w:val="26"/>
                <w:szCs w:val="26"/>
              </w:rPr>
            </w:pPr>
            <w:r w:rsidRPr="000273CE">
              <w:rPr>
                <w:rFonts w:eastAsia="Calibri" w:cs="Times New Roman"/>
                <w:bCs/>
                <w:noProof w:val="0"/>
                <w:sz w:val="26"/>
                <w:szCs w:val="26"/>
              </w:rPr>
              <w:t>15 ngày làm việc</w:t>
            </w:r>
          </w:p>
        </w:tc>
        <w:tc>
          <w:tcPr>
            <w:tcW w:w="1559" w:type="dxa"/>
            <w:vAlign w:val="center"/>
          </w:tcPr>
          <w:p w:rsidR="000273CE" w:rsidRPr="000273CE" w:rsidRDefault="000273CE" w:rsidP="004D47DD">
            <w:pPr>
              <w:spacing w:before="120" w:after="120"/>
              <w:jc w:val="center"/>
              <w:rPr>
                <w:rFonts w:eastAsia="Calibri" w:cs="Times New Roman"/>
                <w:bCs/>
                <w:noProof w:val="0"/>
                <w:sz w:val="26"/>
                <w:szCs w:val="26"/>
              </w:rPr>
            </w:pPr>
            <w:r w:rsidRPr="000273CE">
              <w:rPr>
                <w:rFonts w:eastAsia="Calibri" w:cs="Times New Roman"/>
                <w:bCs/>
                <w:noProof w:val="0"/>
                <w:sz w:val="26"/>
                <w:szCs w:val="26"/>
              </w:rPr>
              <w:t>Bộ phận tiếp nhận và trả kết quả thuộc Ủy ban nhân dân cấp xã</w:t>
            </w:r>
          </w:p>
        </w:tc>
        <w:tc>
          <w:tcPr>
            <w:tcW w:w="993" w:type="dxa"/>
            <w:vAlign w:val="center"/>
          </w:tcPr>
          <w:p w:rsidR="000273CE" w:rsidRPr="000273CE" w:rsidRDefault="000273CE" w:rsidP="004D47DD">
            <w:pPr>
              <w:spacing w:before="120" w:after="120"/>
              <w:ind w:hanging="12"/>
              <w:jc w:val="center"/>
              <w:rPr>
                <w:rFonts w:eastAsia="Calibri" w:cs="Times New Roman"/>
                <w:noProof w:val="0"/>
                <w:sz w:val="26"/>
                <w:szCs w:val="26"/>
              </w:rPr>
            </w:pPr>
            <w:r w:rsidRPr="000273CE">
              <w:rPr>
                <w:rFonts w:eastAsia="Calibri" w:cs="Times New Roman"/>
                <w:noProof w:val="0"/>
                <w:sz w:val="26"/>
                <w:szCs w:val="26"/>
              </w:rPr>
              <w:t>Không</w:t>
            </w:r>
          </w:p>
        </w:tc>
        <w:tc>
          <w:tcPr>
            <w:tcW w:w="6425" w:type="dxa"/>
            <w:vMerge/>
            <w:vAlign w:val="center"/>
          </w:tcPr>
          <w:p w:rsidR="000273CE" w:rsidRPr="000273CE" w:rsidRDefault="000273CE" w:rsidP="004D47DD">
            <w:pPr>
              <w:spacing w:before="120" w:after="120"/>
              <w:jc w:val="both"/>
              <w:rPr>
                <w:rFonts w:eastAsia="Calibri" w:cs="Times New Roman"/>
                <w:noProof w:val="0"/>
                <w:sz w:val="26"/>
                <w:szCs w:val="26"/>
                <w:lang w:val="pt-BR"/>
              </w:rPr>
            </w:pPr>
          </w:p>
        </w:tc>
        <w:tc>
          <w:tcPr>
            <w:tcW w:w="992" w:type="dxa"/>
            <w:vMerge/>
            <w:vAlign w:val="center"/>
          </w:tcPr>
          <w:p w:rsidR="000273CE" w:rsidRPr="000273CE" w:rsidRDefault="000273CE" w:rsidP="004D47DD">
            <w:pPr>
              <w:spacing w:before="120" w:after="120"/>
              <w:jc w:val="both"/>
              <w:rPr>
                <w:rFonts w:eastAsia="Calibri" w:cs="Times New Roman"/>
                <w:noProof w:val="0"/>
                <w:sz w:val="26"/>
                <w:szCs w:val="26"/>
                <w:lang w:val="pt-BR"/>
              </w:rPr>
            </w:pPr>
          </w:p>
        </w:tc>
        <w:tc>
          <w:tcPr>
            <w:tcW w:w="962" w:type="dxa"/>
            <w:vMerge/>
            <w:vAlign w:val="center"/>
          </w:tcPr>
          <w:p w:rsidR="000273CE" w:rsidRPr="000273CE" w:rsidRDefault="000273CE" w:rsidP="004D47DD">
            <w:pPr>
              <w:spacing w:before="120" w:after="120"/>
              <w:jc w:val="both"/>
              <w:rPr>
                <w:rFonts w:eastAsia="Calibri" w:cs="Times New Roman"/>
                <w:noProof w:val="0"/>
                <w:sz w:val="26"/>
                <w:szCs w:val="26"/>
              </w:rPr>
            </w:pPr>
          </w:p>
        </w:tc>
      </w:tr>
    </w:tbl>
    <w:p w:rsidR="000273CE" w:rsidRDefault="000273CE" w:rsidP="001340E3">
      <w:pPr>
        <w:spacing w:before="120" w:after="120"/>
        <w:ind w:firstLine="720"/>
        <w:jc w:val="both"/>
        <w:rPr>
          <w:rFonts w:eastAsia="Calibri" w:cs="Times New Roman"/>
          <w:b/>
          <w:bCs/>
          <w:noProof w:val="0"/>
          <w:szCs w:val="28"/>
        </w:rPr>
      </w:pPr>
    </w:p>
    <w:p w:rsidR="00C85623" w:rsidRPr="00AC2C97" w:rsidRDefault="00AF329B" w:rsidP="001340E3">
      <w:pPr>
        <w:spacing w:before="120" w:after="120"/>
        <w:ind w:firstLine="720"/>
        <w:jc w:val="both"/>
        <w:rPr>
          <w:rFonts w:eastAsia="Calibri" w:cs="Times New Roman"/>
          <w:b/>
          <w:bCs/>
          <w:noProof w:val="0"/>
          <w:szCs w:val="28"/>
        </w:rPr>
      </w:pPr>
      <w:r w:rsidRPr="00AC2C97">
        <w:rPr>
          <w:rFonts w:eastAsia="Calibri" w:cs="Times New Roman"/>
          <w:b/>
          <w:bCs/>
          <w:noProof w:val="0"/>
          <w:szCs w:val="28"/>
        </w:rPr>
        <w:lastRenderedPageBreak/>
        <w:t>II. DANH MỤC THỦ TỤC HÀNH CHÍNH BÃI BỎ</w:t>
      </w:r>
    </w:p>
    <w:tbl>
      <w:tblPr>
        <w:tblStyle w:val="TableGrid"/>
        <w:tblW w:w="14312" w:type="dxa"/>
        <w:jc w:val="center"/>
        <w:tblLook w:val="04A0" w:firstRow="1" w:lastRow="0" w:firstColumn="1" w:lastColumn="0" w:noHBand="0" w:noVBand="1"/>
      </w:tblPr>
      <w:tblGrid>
        <w:gridCol w:w="559"/>
        <w:gridCol w:w="1727"/>
        <w:gridCol w:w="4245"/>
        <w:gridCol w:w="7781"/>
      </w:tblGrid>
      <w:tr w:rsidR="00AC2C97" w:rsidRPr="00F70E35" w:rsidTr="00F70E35">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533343" w:rsidRPr="00F70E35" w:rsidRDefault="00533343" w:rsidP="00F70E35">
            <w:pPr>
              <w:spacing w:before="120" w:after="120"/>
              <w:jc w:val="center"/>
              <w:rPr>
                <w:b/>
                <w:noProof w:val="0"/>
                <w:sz w:val="28"/>
                <w:szCs w:val="28"/>
                <w:lang w:val="hr-HR"/>
              </w:rPr>
            </w:pPr>
            <w:r w:rsidRPr="00F70E35">
              <w:rPr>
                <w:b/>
                <w:noProof w:val="0"/>
                <w:sz w:val="28"/>
                <w:szCs w:val="28"/>
                <w:lang w:val="hr-HR"/>
              </w:rPr>
              <w:t>Stt</w:t>
            </w:r>
          </w:p>
        </w:tc>
        <w:tc>
          <w:tcPr>
            <w:tcW w:w="1727" w:type="dxa"/>
            <w:tcBorders>
              <w:top w:val="single" w:sz="4" w:space="0" w:color="auto"/>
              <w:left w:val="single" w:sz="4" w:space="0" w:color="auto"/>
              <w:bottom w:val="single" w:sz="4" w:space="0" w:color="auto"/>
              <w:right w:val="single" w:sz="4" w:space="0" w:color="auto"/>
            </w:tcBorders>
            <w:vAlign w:val="center"/>
            <w:hideMark/>
          </w:tcPr>
          <w:p w:rsidR="00533343" w:rsidRPr="00F70E35" w:rsidRDefault="00533343" w:rsidP="00ED5DC5">
            <w:pPr>
              <w:spacing w:before="120" w:after="120"/>
              <w:jc w:val="center"/>
              <w:rPr>
                <w:b/>
                <w:noProof w:val="0"/>
                <w:sz w:val="28"/>
                <w:szCs w:val="28"/>
                <w:lang w:val="hr-HR"/>
              </w:rPr>
            </w:pPr>
            <w:r w:rsidRPr="00F70E35">
              <w:rPr>
                <w:b/>
                <w:noProof w:val="0"/>
                <w:sz w:val="28"/>
                <w:szCs w:val="28"/>
                <w:lang w:val="hr-HR"/>
              </w:rPr>
              <w:t>Mã số hồ sơ TTHC</w:t>
            </w:r>
          </w:p>
        </w:tc>
        <w:tc>
          <w:tcPr>
            <w:tcW w:w="4245" w:type="dxa"/>
            <w:tcBorders>
              <w:top w:val="single" w:sz="4" w:space="0" w:color="auto"/>
              <w:left w:val="single" w:sz="4" w:space="0" w:color="auto"/>
              <w:bottom w:val="single" w:sz="4" w:space="0" w:color="auto"/>
              <w:right w:val="single" w:sz="4" w:space="0" w:color="auto"/>
            </w:tcBorders>
            <w:vAlign w:val="center"/>
            <w:hideMark/>
          </w:tcPr>
          <w:p w:rsidR="00533343" w:rsidRPr="00F70E35" w:rsidRDefault="00533343" w:rsidP="00ED5DC5">
            <w:pPr>
              <w:spacing w:before="120" w:after="120"/>
              <w:jc w:val="center"/>
              <w:rPr>
                <w:b/>
                <w:noProof w:val="0"/>
                <w:sz w:val="28"/>
                <w:szCs w:val="28"/>
                <w:lang w:val="hr-HR"/>
              </w:rPr>
            </w:pPr>
            <w:r w:rsidRPr="00F70E35">
              <w:rPr>
                <w:b/>
                <w:noProof w:val="0"/>
                <w:sz w:val="28"/>
                <w:szCs w:val="28"/>
                <w:lang w:val="hr-HR"/>
              </w:rPr>
              <w:t>Tên thủ tục hành chính</w:t>
            </w:r>
          </w:p>
        </w:tc>
        <w:tc>
          <w:tcPr>
            <w:tcW w:w="7781" w:type="dxa"/>
            <w:tcBorders>
              <w:top w:val="single" w:sz="4" w:space="0" w:color="auto"/>
              <w:left w:val="single" w:sz="4" w:space="0" w:color="auto"/>
              <w:bottom w:val="single" w:sz="4" w:space="0" w:color="auto"/>
              <w:right w:val="single" w:sz="4" w:space="0" w:color="auto"/>
            </w:tcBorders>
            <w:vAlign w:val="center"/>
            <w:hideMark/>
          </w:tcPr>
          <w:p w:rsidR="00533343" w:rsidRPr="00F70E35" w:rsidRDefault="00533343" w:rsidP="00ED5DC5">
            <w:pPr>
              <w:spacing w:before="120" w:after="120"/>
              <w:jc w:val="center"/>
              <w:rPr>
                <w:b/>
                <w:noProof w:val="0"/>
                <w:sz w:val="28"/>
                <w:szCs w:val="28"/>
                <w:lang w:val="hr-HR"/>
              </w:rPr>
            </w:pPr>
            <w:r w:rsidRPr="00F70E35">
              <w:rPr>
                <w:b/>
                <w:noProof w:val="0"/>
                <w:sz w:val="28"/>
                <w:szCs w:val="28"/>
                <w:lang w:val="hr-HR"/>
              </w:rPr>
              <w:t>Tên VBQPPL quy định việc bãi bỏ TTHC</w:t>
            </w:r>
          </w:p>
        </w:tc>
      </w:tr>
      <w:tr w:rsidR="003F7094" w:rsidRPr="00F70E35" w:rsidTr="00F70E35">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3F7094" w:rsidRPr="00F70E35" w:rsidRDefault="00F70E35" w:rsidP="00F70E35">
            <w:pPr>
              <w:spacing w:before="120" w:after="120"/>
              <w:jc w:val="center"/>
              <w:rPr>
                <w:noProof w:val="0"/>
                <w:sz w:val="28"/>
                <w:szCs w:val="28"/>
                <w:lang w:val="hr-HR"/>
              </w:rPr>
            </w:pPr>
            <w:r w:rsidRPr="00F70E35">
              <w:rPr>
                <w:noProof w:val="0"/>
                <w:sz w:val="28"/>
                <w:szCs w:val="28"/>
                <w:lang w:val="hr-HR"/>
              </w:rPr>
              <w:t>1</w:t>
            </w:r>
          </w:p>
        </w:tc>
        <w:tc>
          <w:tcPr>
            <w:tcW w:w="1727"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695458">
            <w:pPr>
              <w:spacing w:before="120" w:after="120"/>
              <w:jc w:val="center"/>
              <w:rPr>
                <w:bCs/>
                <w:noProof w:val="0"/>
                <w:sz w:val="28"/>
                <w:szCs w:val="28"/>
                <w:lang w:val="en-US"/>
              </w:rPr>
            </w:pPr>
            <w:r w:rsidRPr="00F70E35">
              <w:rPr>
                <w:bCs/>
                <w:noProof w:val="0"/>
                <w:sz w:val="28"/>
                <w:szCs w:val="28"/>
              </w:rPr>
              <w:t>1.0</w:t>
            </w:r>
            <w:r w:rsidRPr="00F70E35">
              <w:rPr>
                <w:bCs/>
                <w:noProof w:val="0"/>
                <w:sz w:val="28"/>
                <w:szCs w:val="28"/>
                <w:lang w:val="en-US"/>
              </w:rPr>
              <w:t>00489</w:t>
            </w:r>
          </w:p>
        </w:tc>
        <w:tc>
          <w:tcPr>
            <w:tcW w:w="4245"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533343">
            <w:pPr>
              <w:spacing w:before="120" w:after="120"/>
              <w:jc w:val="both"/>
              <w:rPr>
                <w:bCs/>
                <w:noProof w:val="0"/>
                <w:sz w:val="28"/>
                <w:szCs w:val="28"/>
                <w:lang w:val="en-US"/>
              </w:rPr>
            </w:pPr>
            <w:r w:rsidRPr="00F70E35">
              <w:rPr>
                <w:bCs/>
                <w:noProof w:val="0"/>
                <w:sz w:val="28"/>
                <w:szCs w:val="28"/>
                <w:lang w:val="en-US"/>
              </w:rPr>
              <w:t>Công nhận hộ thoát nghèo, hộ thoát cận nghèo trong năm</w:t>
            </w:r>
          </w:p>
        </w:tc>
        <w:tc>
          <w:tcPr>
            <w:tcW w:w="7781" w:type="dxa"/>
            <w:vMerge w:val="restart"/>
            <w:tcBorders>
              <w:top w:val="single" w:sz="4" w:space="0" w:color="auto"/>
              <w:left w:val="single" w:sz="4" w:space="0" w:color="auto"/>
              <w:right w:val="single" w:sz="4" w:space="0" w:color="auto"/>
            </w:tcBorders>
            <w:vAlign w:val="center"/>
          </w:tcPr>
          <w:p w:rsidR="003F7094" w:rsidRPr="00F70E35" w:rsidRDefault="003F7094" w:rsidP="003F7094">
            <w:pPr>
              <w:spacing w:before="120" w:after="120"/>
              <w:jc w:val="both"/>
              <w:rPr>
                <w:noProof w:val="0"/>
                <w:sz w:val="28"/>
                <w:szCs w:val="28"/>
                <w:lang w:val="hr-HR"/>
              </w:rPr>
            </w:pPr>
            <w:r w:rsidRPr="00F70E35">
              <w:rPr>
                <w:noProof w:val="0"/>
                <w:sz w:val="28"/>
                <w:szCs w:val="28"/>
                <w:lang w:val="pt-BR"/>
              </w:rPr>
              <w:t>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2022-2025</w:t>
            </w:r>
          </w:p>
        </w:tc>
      </w:tr>
      <w:tr w:rsidR="003F7094" w:rsidRPr="00F70E35" w:rsidTr="00F70E35">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3F7094" w:rsidRPr="00F70E35" w:rsidRDefault="00F70E35" w:rsidP="00F70E35">
            <w:pPr>
              <w:spacing w:before="120" w:after="120"/>
              <w:jc w:val="center"/>
              <w:rPr>
                <w:noProof w:val="0"/>
                <w:sz w:val="28"/>
                <w:szCs w:val="28"/>
                <w:lang w:val="hr-HR"/>
              </w:rPr>
            </w:pPr>
            <w:r w:rsidRPr="00F70E35">
              <w:rPr>
                <w:noProof w:val="0"/>
                <w:sz w:val="28"/>
                <w:szCs w:val="28"/>
                <w:lang w:val="hr-HR"/>
              </w:rPr>
              <w:t>2</w:t>
            </w:r>
          </w:p>
        </w:tc>
        <w:tc>
          <w:tcPr>
            <w:tcW w:w="1727"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695458">
            <w:pPr>
              <w:spacing w:before="120" w:after="120"/>
              <w:jc w:val="center"/>
              <w:rPr>
                <w:bCs/>
                <w:noProof w:val="0"/>
                <w:sz w:val="28"/>
                <w:szCs w:val="28"/>
                <w:lang w:val="en-US"/>
              </w:rPr>
            </w:pPr>
            <w:r w:rsidRPr="00F70E35">
              <w:rPr>
                <w:bCs/>
                <w:noProof w:val="0"/>
                <w:sz w:val="28"/>
                <w:szCs w:val="28"/>
                <w:lang w:val="en-US"/>
              </w:rPr>
              <w:t>1.000506</w:t>
            </w:r>
          </w:p>
        </w:tc>
        <w:tc>
          <w:tcPr>
            <w:tcW w:w="4245"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533343">
            <w:pPr>
              <w:spacing w:before="120" w:after="120"/>
              <w:jc w:val="both"/>
              <w:rPr>
                <w:bCs/>
                <w:noProof w:val="0"/>
                <w:sz w:val="28"/>
                <w:szCs w:val="28"/>
                <w:lang w:val="en-US"/>
              </w:rPr>
            </w:pPr>
            <w:r w:rsidRPr="00F70E35">
              <w:rPr>
                <w:bCs/>
                <w:noProof w:val="0"/>
                <w:sz w:val="28"/>
                <w:szCs w:val="28"/>
                <w:lang w:val="en-US"/>
              </w:rPr>
              <w:t>Công nhận hộ nghèo, hộ cận nghèo phát sinh trong năm</w:t>
            </w:r>
          </w:p>
        </w:tc>
        <w:tc>
          <w:tcPr>
            <w:tcW w:w="7781" w:type="dxa"/>
            <w:vMerge/>
            <w:tcBorders>
              <w:left w:val="single" w:sz="4" w:space="0" w:color="auto"/>
              <w:right w:val="single" w:sz="4" w:space="0" w:color="auto"/>
            </w:tcBorders>
          </w:tcPr>
          <w:p w:rsidR="003F7094" w:rsidRPr="00F70E35" w:rsidRDefault="003F7094" w:rsidP="00533343">
            <w:pPr>
              <w:spacing w:before="120" w:after="120"/>
              <w:jc w:val="both"/>
              <w:rPr>
                <w:noProof w:val="0"/>
                <w:sz w:val="28"/>
                <w:szCs w:val="28"/>
                <w:lang w:val="pt-BR"/>
              </w:rPr>
            </w:pPr>
          </w:p>
        </w:tc>
      </w:tr>
      <w:tr w:rsidR="003F7094" w:rsidRPr="00F70E35" w:rsidTr="00F70E35">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3F7094" w:rsidRPr="00F70E35" w:rsidRDefault="00F70E35" w:rsidP="00F70E35">
            <w:pPr>
              <w:spacing w:before="120" w:after="120"/>
              <w:jc w:val="center"/>
              <w:rPr>
                <w:noProof w:val="0"/>
                <w:sz w:val="28"/>
                <w:szCs w:val="28"/>
                <w:lang w:val="hr-HR"/>
              </w:rPr>
            </w:pPr>
            <w:r w:rsidRPr="00F70E35">
              <w:rPr>
                <w:noProof w:val="0"/>
                <w:sz w:val="28"/>
                <w:szCs w:val="28"/>
                <w:lang w:val="hr-HR"/>
              </w:rPr>
              <w:t>3</w:t>
            </w:r>
          </w:p>
        </w:tc>
        <w:tc>
          <w:tcPr>
            <w:tcW w:w="1727"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695458">
            <w:pPr>
              <w:spacing w:before="120" w:after="120"/>
              <w:jc w:val="center"/>
              <w:rPr>
                <w:bCs/>
                <w:noProof w:val="0"/>
                <w:sz w:val="28"/>
                <w:szCs w:val="28"/>
                <w:lang w:val="en-US"/>
              </w:rPr>
            </w:pPr>
            <w:r w:rsidRPr="00F70E35">
              <w:rPr>
                <w:bCs/>
                <w:noProof w:val="0"/>
                <w:sz w:val="28"/>
                <w:szCs w:val="28"/>
                <w:lang w:val="en-US"/>
              </w:rPr>
              <w:t>2.000602</w:t>
            </w:r>
          </w:p>
        </w:tc>
        <w:tc>
          <w:tcPr>
            <w:tcW w:w="4245" w:type="dxa"/>
            <w:tcBorders>
              <w:top w:val="single" w:sz="4" w:space="0" w:color="auto"/>
              <w:left w:val="single" w:sz="4" w:space="0" w:color="auto"/>
              <w:bottom w:val="single" w:sz="4" w:space="0" w:color="auto"/>
              <w:right w:val="single" w:sz="4" w:space="0" w:color="auto"/>
            </w:tcBorders>
            <w:vAlign w:val="center"/>
          </w:tcPr>
          <w:p w:rsidR="003F7094" w:rsidRPr="00F70E35" w:rsidRDefault="003F7094" w:rsidP="00533343">
            <w:pPr>
              <w:spacing w:before="120" w:after="120"/>
              <w:jc w:val="both"/>
              <w:rPr>
                <w:bCs/>
                <w:noProof w:val="0"/>
                <w:sz w:val="28"/>
                <w:szCs w:val="28"/>
                <w:lang w:val="en-US"/>
              </w:rPr>
            </w:pPr>
            <w:r w:rsidRPr="00F70E35">
              <w:rPr>
                <w:bCs/>
                <w:noProof w:val="0"/>
                <w:sz w:val="28"/>
                <w:szCs w:val="28"/>
                <w:lang w:val="en-US"/>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7781" w:type="dxa"/>
            <w:vMerge/>
            <w:tcBorders>
              <w:left w:val="single" w:sz="4" w:space="0" w:color="auto"/>
              <w:bottom w:val="single" w:sz="4" w:space="0" w:color="auto"/>
              <w:right w:val="single" w:sz="4" w:space="0" w:color="auto"/>
            </w:tcBorders>
          </w:tcPr>
          <w:p w:rsidR="003F7094" w:rsidRPr="00F70E35" w:rsidRDefault="003F7094" w:rsidP="00533343">
            <w:pPr>
              <w:spacing w:before="120" w:after="120"/>
              <w:jc w:val="both"/>
              <w:rPr>
                <w:noProof w:val="0"/>
                <w:sz w:val="28"/>
                <w:szCs w:val="28"/>
                <w:lang w:val="pt-BR"/>
              </w:rPr>
            </w:pPr>
          </w:p>
        </w:tc>
      </w:tr>
    </w:tbl>
    <w:p w:rsidR="00B80B7C" w:rsidRPr="00AC2C97" w:rsidRDefault="00B80B7C" w:rsidP="00EC7D0C">
      <w:pPr>
        <w:rPr>
          <w:rFonts w:cs="Times New Roman"/>
          <w:szCs w:val="28"/>
        </w:rPr>
      </w:pPr>
    </w:p>
    <w:sectPr w:rsidR="00B80B7C" w:rsidRPr="00AC2C97" w:rsidSect="00BE5CA2">
      <w:headerReference w:type="default" r:id="rId9"/>
      <w:pgSz w:w="16840" w:h="11907" w:orient="landscape" w:code="9"/>
      <w:pgMar w:top="1134" w:right="1134" w:bottom="28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5D" w:rsidRDefault="0048085D" w:rsidP="00555DA8">
      <w:r>
        <w:separator/>
      </w:r>
    </w:p>
  </w:endnote>
  <w:endnote w:type="continuationSeparator" w:id="0">
    <w:p w:rsidR="0048085D" w:rsidRDefault="0048085D" w:rsidP="0055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5D" w:rsidRDefault="0048085D" w:rsidP="00555DA8">
      <w:r>
        <w:separator/>
      </w:r>
    </w:p>
  </w:footnote>
  <w:footnote w:type="continuationSeparator" w:id="0">
    <w:p w:rsidR="0048085D" w:rsidRDefault="0048085D" w:rsidP="00555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72764045"/>
      <w:docPartObj>
        <w:docPartGallery w:val="Page Numbers (Top of Page)"/>
        <w:docPartUnique/>
      </w:docPartObj>
    </w:sdtPr>
    <w:sdtEndPr>
      <w:rPr>
        <w:noProof/>
      </w:rPr>
    </w:sdtEndPr>
    <w:sdtContent>
      <w:p w:rsidR="00555DA8" w:rsidRDefault="00555DA8">
        <w:pPr>
          <w:pStyle w:val="Header"/>
          <w:jc w:val="center"/>
        </w:pPr>
        <w:r>
          <w:rPr>
            <w:noProof w:val="0"/>
          </w:rPr>
          <w:fldChar w:fldCharType="begin"/>
        </w:r>
        <w:r>
          <w:instrText xml:space="preserve"> PAGE   \* MERGEFORMAT </w:instrText>
        </w:r>
        <w:r>
          <w:rPr>
            <w:noProof w:val="0"/>
          </w:rPr>
          <w:fldChar w:fldCharType="separate"/>
        </w:r>
        <w:r w:rsidR="00676E38">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9027D"/>
    <w:multiLevelType w:val="hybridMultilevel"/>
    <w:tmpl w:val="2C9CD6BE"/>
    <w:lvl w:ilvl="0" w:tplc="5344B9A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D6C1F10"/>
    <w:multiLevelType w:val="hybridMultilevel"/>
    <w:tmpl w:val="4DA06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051C52"/>
    <w:multiLevelType w:val="hybridMultilevel"/>
    <w:tmpl w:val="4DA06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C6"/>
    <w:rsid w:val="00012B65"/>
    <w:rsid w:val="000268DA"/>
    <w:rsid w:val="000273CE"/>
    <w:rsid w:val="00040CDB"/>
    <w:rsid w:val="00072D8A"/>
    <w:rsid w:val="00083C47"/>
    <w:rsid w:val="000B0659"/>
    <w:rsid w:val="000C2010"/>
    <w:rsid w:val="000C36CA"/>
    <w:rsid w:val="000D6103"/>
    <w:rsid w:val="001340E3"/>
    <w:rsid w:val="00146B44"/>
    <w:rsid w:val="0015090D"/>
    <w:rsid w:val="00182958"/>
    <w:rsid w:val="001B0364"/>
    <w:rsid w:val="001E42A9"/>
    <w:rsid w:val="002D091F"/>
    <w:rsid w:val="002F2F70"/>
    <w:rsid w:val="002F4F4A"/>
    <w:rsid w:val="00302CE3"/>
    <w:rsid w:val="0031571B"/>
    <w:rsid w:val="00332BB1"/>
    <w:rsid w:val="00354861"/>
    <w:rsid w:val="003C1FF7"/>
    <w:rsid w:val="003F7094"/>
    <w:rsid w:val="00455575"/>
    <w:rsid w:val="00470697"/>
    <w:rsid w:val="00473398"/>
    <w:rsid w:val="0048085D"/>
    <w:rsid w:val="004D47DD"/>
    <w:rsid w:val="004E2929"/>
    <w:rsid w:val="00533343"/>
    <w:rsid w:val="005358A3"/>
    <w:rsid w:val="00555DA8"/>
    <w:rsid w:val="0057041D"/>
    <w:rsid w:val="005B2ECC"/>
    <w:rsid w:val="005E398C"/>
    <w:rsid w:val="005F3F03"/>
    <w:rsid w:val="00614B72"/>
    <w:rsid w:val="00676E38"/>
    <w:rsid w:val="00685475"/>
    <w:rsid w:val="00695458"/>
    <w:rsid w:val="006B4DCA"/>
    <w:rsid w:val="006B72E1"/>
    <w:rsid w:val="00700ACD"/>
    <w:rsid w:val="00703459"/>
    <w:rsid w:val="00770731"/>
    <w:rsid w:val="007B4C46"/>
    <w:rsid w:val="007C29E5"/>
    <w:rsid w:val="0080245C"/>
    <w:rsid w:val="0089261E"/>
    <w:rsid w:val="00897355"/>
    <w:rsid w:val="00907098"/>
    <w:rsid w:val="00907CE3"/>
    <w:rsid w:val="009106D7"/>
    <w:rsid w:val="00920E42"/>
    <w:rsid w:val="00994F6E"/>
    <w:rsid w:val="009A10DC"/>
    <w:rsid w:val="009D4BF9"/>
    <w:rsid w:val="00A2497A"/>
    <w:rsid w:val="00A70250"/>
    <w:rsid w:val="00A95EB2"/>
    <w:rsid w:val="00AC2C97"/>
    <w:rsid w:val="00AD1BC3"/>
    <w:rsid w:val="00AF329B"/>
    <w:rsid w:val="00AF337D"/>
    <w:rsid w:val="00B03066"/>
    <w:rsid w:val="00B244FF"/>
    <w:rsid w:val="00B31B01"/>
    <w:rsid w:val="00B34540"/>
    <w:rsid w:val="00B67CD6"/>
    <w:rsid w:val="00B714DD"/>
    <w:rsid w:val="00B80B7C"/>
    <w:rsid w:val="00B87455"/>
    <w:rsid w:val="00B936B1"/>
    <w:rsid w:val="00BE5CA2"/>
    <w:rsid w:val="00C37E1F"/>
    <w:rsid w:val="00C572BC"/>
    <w:rsid w:val="00C73802"/>
    <w:rsid w:val="00C85623"/>
    <w:rsid w:val="00CA7E1E"/>
    <w:rsid w:val="00CD1453"/>
    <w:rsid w:val="00D11512"/>
    <w:rsid w:val="00D148FD"/>
    <w:rsid w:val="00D44E81"/>
    <w:rsid w:val="00D6628E"/>
    <w:rsid w:val="00D97D6F"/>
    <w:rsid w:val="00DA6B56"/>
    <w:rsid w:val="00DF143E"/>
    <w:rsid w:val="00E00328"/>
    <w:rsid w:val="00E46563"/>
    <w:rsid w:val="00E8224D"/>
    <w:rsid w:val="00E832C2"/>
    <w:rsid w:val="00E845C8"/>
    <w:rsid w:val="00E85970"/>
    <w:rsid w:val="00E87F1C"/>
    <w:rsid w:val="00E976DD"/>
    <w:rsid w:val="00EA3ACB"/>
    <w:rsid w:val="00EB75C6"/>
    <w:rsid w:val="00EC28D5"/>
    <w:rsid w:val="00EC7D0C"/>
    <w:rsid w:val="00ED573A"/>
    <w:rsid w:val="00ED5DC5"/>
    <w:rsid w:val="00EE04AF"/>
    <w:rsid w:val="00F46DAC"/>
    <w:rsid w:val="00F52A27"/>
    <w:rsid w:val="00F70E35"/>
    <w:rsid w:val="00FC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4F4A"/>
    <w:pPr>
      <w:spacing w:before="100" w:beforeAutospacing="1" w:after="100" w:afterAutospacing="1"/>
    </w:pPr>
    <w:rPr>
      <w:rFonts w:eastAsia="Times New Roman" w:cs="Times New Roman"/>
      <w:noProof w:val="0"/>
      <w:sz w:val="24"/>
      <w:szCs w:val="24"/>
    </w:rPr>
  </w:style>
  <w:style w:type="paragraph" w:styleId="Header">
    <w:name w:val="header"/>
    <w:basedOn w:val="Normal"/>
    <w:link w:val="HeaderChar"/>
    <w:uiPriority w:val="99"/>
    <w:unhideWhenUsed/>
    <w:rsid w:val="00555DA8"/>
    <w:pPr>
      <w:tabs>
        <w:tab w:val="center" w:pos="4680"/>
        <w:tab w:val="right" w:pos="9360"/>
      </w:tabs>
    </w:pPr>
  </w:style>
  <w:style w:type="character" w:customStyle="1" w:styleId="HeaderChar">
    <w:name w:val="Header Char"/>
    <w:basedOn w:val="DefaultParagraphFont"/>
    <w:link w:val="Header"/>
    <w:uiPriority w:val="99"/>
    <w:rsid w:val="00555DA8"/>
    <w:rPr>
      <w:noProof/>
    </w:rPr>
  </w:style>
  <w:style w:type="paragraph" w:styleId="Footer">
    <w:name w:val="footer"/>
    <w:basedOn w:val="Normal"/>
    <w:link w:val="FooterChar"/>
    <w:uiPriority w:val="99"/>
    <w:unhideWhenUsed/>
    <w:rsid w:val="00555DA8"/>
    <w:pPr>
      <w:tabs>
        <w:tab w:val="center" w:pos="4680"/>
        <w:tab w:val="right" w:pos="9360"/>
      </w:tabs>
    </w:pPr>
  </w:style>
  <w:style w:type="character" w:customStyle="1" w:styleId="FooterChar">
    <w:name w:val="Footer Char"/>
    <w:basedOn w:val="DefaultParagraphFont"/>
    <w:link w:val="Footer"/>
    <w:uiPriority w:val="99"/>
    <w:rsid w:val="00555DA8"/>
    <w:rPr>
      <w:noProof/>
    </w:rPr>
  </w:style>
  <w:style w:type="paragraph" w:styleId="ListParagraph">
    <w:name w:val="List Paragraph"/>
    <w:basedOn w:val="Normal"/>
    <w:uiPriority w:val="34"/>
    <w:qFormat/>
    <w:rsid w:val="005B2ECC"/>
    <w:pPr>
      <w:ind w:left="720"/>
      <w:contextualSpacing/>
    </w:pPr>
  </w:style>
  <w:style w:type="table" w:styleId="TableGrid">
    <w:name w:val="Table Grid"/>
    <w:basedOn w:val="TableNormal"/>
    <w:uiPriority w:val="99"/>
    <w:rsid w:val="00533343"/>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F4F4A"/>
    <w:pPr>
      <w:spacing w:before="100" w:beforeAutospacing="1" w:after="100" w:afterAutospacing="1"/>
    </w:pPr>
    <w:rPr>
      <w:rFonts w:eastAsia="Times New Roman" w:cs="Times New Roman"/>
      <w:noProof w:val="0"/>
      <w:sz w:val="24"/>
      <w:szCs w:val="24"/>
    </w:rPr>
  </w:style>
  <w:style w:type="paragraph" w:styleId="Header">
    <w:name w:val="header"/>
    <w:basedOn w:val="Normal"/>
    <w:link w:val="HeaderChar"/>
    <w:uiPriority w:val="99"/>
    <w:unhideWhenUsed/>
    <w:rsid w:val="00555DA8"/>
    <w:pPr>
      <w:tabs>
        <w:tab w:val="center" w:pos="4680"/>
        <w:tab w:val="right" w:pos="9360"/>
      </w:tabs>
    </w:pPr>
  </w:style>
  <w:style w:type="character" w:customStyle="1" w:styleId="HeaderChar">
    <w:name w:val="Header Char"/>
    <w:basedOn w:val="DefaultParagraphFont"/>
    <w:link w:val="Header"/>
    <w:uiPriority w:val="99"/>
    <w:rsid w:val="00555DA8"/>
    <w:rPr>
      <w:noProof/>
    </w:rPr>
  </w:style>
  <w:style w:type="paragraph" w:styleId="Footer">
    <w:name w:val="footer"/>
    <w:basedOn w:val="Normal"/>
    <w:link w:val="FooterChar"/>
    <w:uiPriority w:val="99"/>
    <w:unhideWhenUsed/>
    <w:rsid w:val="00555DA8"/>
    <w:pPr>
      <w:tabs>
        <w:tab w:val="center" w:pos="4680"/>
        <w:tab w:val="right" w:pos="9360"/>
      </w:tabs>
    </w:pPr>
  </w:style>
  <w:style w:type="character" w:customStyle="1" w:styleId="FooterChar">
    <w:name w:val="Footer Char"/>
    <w:basedOn w:val="DefaultParagraphFont"/>
    <w:link w:val="Footer"/>
    <w:uiPriority w:val="99"/>
    <w:rsid w:val="00555DA8"/>
    <w:rPr>
      <w:noProof/>
    </w:rPr>
  </w:style>
  <w:style w:type="paragraph" w:styleId="ListParagraph">
    <w:name w:val="List Paragraph"/>
    <w:basedOn w:val="Normal"/>
    <w:uiPriority w:val="34"/>
    <w:qFormat/>
    <w:rsid w:val="005B2ECC"/>
    <w:pPr>
      <w:ind w:left="720"/>
      <w:contextualSpacing/>
    </w:pPr>
  </w:style>
  <w:style w:type="table" w:styleId="TableGrid">
    <w:name w:val="Table Grid"/>
    <w:basedOn w:val="TableNormal"/>
    <w:uiPriority w:val="99"/>
    <w:rsid w:val="00533343"/>
    <w:rPr>
      <w:rFonts w:eastAsia="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5B55-A47A-4D2D-B97E-88D70E6B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KHANH_VPS</dc:creator>
  <cp:lastModifiedBy>Admin</cp:lastModifiedBy>
  <cp:revision>2</cp:revision>
  <cp:lastPrinted>2020-12-02T06:57:00Z</cp:lastPrinted>
  <dcterms:created xsi:type="dcterms:W3CDTF">2023-06-21T02:28:00Z</dcterms:created>
  <dcterms:modified xsi:type="dcterms:W3CDTF">2023-06-21T02:28:00Z</dcterms:modified>
</cp:coreProperties>
</file>