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993"/>
        </w:tabs>
        <w:spacing w:before="120" w:after="120" w:line="240" w:lineRule="auto"/>
        <w:ind w:left="0" w:firstLine="567"/>
        <w:rPr>
          <w:rFonts w:eastAsiaTheme="minorHAnsi"/>
          <w:b/>
          <w:bCs/>
          <w:color w:val="0070C0"/>
          <w:sz w:val="28"/>
          <w:szCs w:val="28"/>
          <w:lang w:val="en-US"/>
        </w:rPr>
      </w:pPr>
      <w:bookmarkStart w:id="0" w:name="_GoBack"/>
      <w:bookmarkEnd w:id="0"/>
      <w:r>
        <w:rPr>
          <w:rFonts w:eastAsiaTheme="minorHAnsi"/>
          <w:b/>
          <w:bCs/>
          <w:color w:val="0070C0"/>
          <w:sz w:val="28"/>
          <w:szCs w:val="28"/>
          <w:lang w:val="en-US"/>
        </w:rPr>
        <w:t>Quyết định quản lý cai nghiện ma túy tự nguyện tại gia đình (1.000132)</w:t>
      </w:r>
    </w:p>
    <w:p>
      <w:pPr>
        <w:pStyle w:val="6"/>
        <w:numPr>
          <w:ilvl w:val="1"/>
          <w:numId w:val="1"/>
        </w:numPr>
        <w:tabs>
          <w:tab w:val="left" w:pos="993"/>
        </w:tabs>
        <w:spacing w:before="120" w:after="120" w:line="240" w:lineRule="auto"/>
        <w:ind w:left="0" w:firstLine="567"/>
        <w:rPr>
          <w:rFonts w:eastAsiaTheme="minorHAnsi"/>
          <w:b/>
          <w:bCs/>
          <w:szCs w:val="28"/>
          <w:lang w:val="en-US"/>
        </w:rPr>
      </w:pPr>
      <w:r>
        <w:rPr>
          <w:rFonts w:eastAsiaTheme="minorHAnsi"/>
          <w:b/>
          <w:bCs/>
          <w:szCs w:val="28"/>
          <w:lang w:val="en-US"/>
        </w:rPr>
        <w:t>Trình tự, cách thức, thời gian giải quyết thủ tục hành chính</w:t>
      </w:r>
    </w:p>
    <w:tbl>
      <w:tblPr>
        <w:tblStyle w:val="4"/>
        <w:tblW w:w="1420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598"/>
        <w:gridCol w:w="7624"/>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938" w:type="dxa"/>
            <w:vAlign w:val="center"/>
          </w:tcPr>
          <w:p>
            <w:pPr>
              <w:spacing w:before="120" w:after="120" w:line="240" w:lineRule="auto"/>
              <w:ind w:firstLine="318"/>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69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Merge w:val="restart"/>
            <w:vAlign w:val="center"/>
          </w:tcPr>
          <w:p>
            <w:pPr>
              <w:shd w:val="clear" w:color="auto" w:fill="FFFFFF"/>
              <w:spacing w:before="120" w:after="120" w:line="240" w:lineRule="auto"/>
              <w:rPr>
                <w:rFonts w:eastAsia="Times New Roman"/>
                <w:b/>
                <w:bCs/>
                <w:szCs w:val="28"/>
                <w:lang w:val="en-US"/>
              </w:rPr>
            </w:pPr>
            <w:r>
              <w:rPr>
                <w:rFonts w:eastAsia="Times New Roman"/>
                <w:b/>
                <w:bCs/>
                <w:szCs w:val="28"/>
                <w:lang w:val="en-US"/>
              </w:rPr>
              <w:t xml:space="preserve">Nộp hồ sơ thủ tục hành chính: </w:t>
            </w:r>
          </w:p>
        </w:tc>
        <w:tc>
          <w:tcPr>
            <w:tcW w:w="7938"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pPr>
              <w:spacing w:before="120" w:after="120" w:line="240" w:lineRule="auto"/>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Sáng: từ 07 giờ đến 11 giờ 30 phút; chiều từ 13 giờ đến 17 giờ của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heme="minorHAnsi"/>
                <w:b/>
                <w:bCs/>
                <w:szCs w:val="28"/>
                <w:lang w:val="en-US"/>
              </w:rPr>
            </w:pPr>
          </w:p>
        </w:tc>
        <w:tc>
          <w:tcPr>
            <w:tcW w:w="7938" w:type="dxa"/>
            <w:vAlign w:val="center"/>
          </w:tcPr>
          <w:p>
            <w:pPr>
              <w:spacing w:before="120" w:after="120" w:line="240" w:lineRule="auto"/>
              <w:ind w:firstLine="318"/>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2</w:t>
            </w:r>
            <w:r>
              <w:rPr>
                <w:rFonts w:eastAsiaTheme="minorHAnsi"/>
                <w:color w:val="000000" w:themeColor="text1"/>
                <w:szCs w:val="28"/>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269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Theme="minorHAnsi"/>
                <w:color w:val="000000" w:themeColor="text1"/>
                <w:szCs w:val="28"/>
                <w:lang w:val="en-US"/>
                <w14:textFill>
                  <w14:solidFill>
                    <w14:schemeClr w14:val="tx1"/>
                  </w14:solidFill>
                </w14:textFill>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Theme="minorHAnsi"/>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Tổ công tác để giải quyết theo quy trình.</w:t>
            </w:r>
          </w:p>
        </w:tc>
        <w:tc>
          <w:tcPr>
            <w:tcW w:w="2694" w:type="dxa"/>
            <w:vAlign w:val="center"/>
          </w:tcPr>
          <w:p>
            <w:pPr>
              <w:spacing w:before="120" w:after="120" w:line="240" w:lineRule="auto"/>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Chuyển ngay hồ sơ tiếp nhận trực tiếp (không để quá 03 giờ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heme="minorHAnsi"/>
                <w:b/>
                <w:bCs/>
                <w:szCs w:val="28"/>
                <w:lang w:val="en-US"/>
              </w:rPr>
            </w:pPr>
          </w:p>
        </w:tc>
        <w:tc>
          <w:tcPr>
            <w:tcW w:w="7938" w:type="dxa"/>
            <w:vAlign w:val="center"/>
          </w:tcPr>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imes New Roman"/>
                <w:b/>
                <w:bCs/>
                <w:color w:val="000000"/>
                <w:szCs w:val="28"/>
                <w:lang w:val="en-US"/>
              </w:rPr>
            </w:pPr>
          </w:p>
        </w:tc>
        <w:tc>
          <w:tcPr>
            <w:tcW w:w="7938"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Tiếp nhận hồ sơ (Bộ phận tiếp nhận và trả kết quả)</w:t>
            </w:r>
          </w:p>
        </w:tc>
        <w:tc>
          <w:tcPr>
            <w:tcW w:w="2694"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vAlign w:val="center"/>
          </w:tcPr>
          <w:p>
            <w:pPr>
              <w:shd w:val="clear" w:color="auto" w:fill="FFFFFF"/>
              <w:spacing w:before="120" w:after="120" w:line="240" w:lineRule="auto"/>
              <w:ind w:firstLine="318"/>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w:t>
            </w:r>
          </w:p>
        </w:tc>
        <w:tc>
          <w:tcPr>
            <w:tcW w:w="269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Công chức Lao động – TB&amp;XH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thẩm định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Lãnh đạo UBND xã</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Văn thư UBND xã</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tabs>
                <w:tab w:val="left" w:pos="1134"/>
              </w:tabs>
              <w:spacing w:before="120" w:after="120" w:line="240" w:lineRule="auto"/>
              <w:ind w:firstLine="567"/>
              <w:rPr>
                <w:rFonts w:eastAsia="Times New Roman"/>
                <w:b/>
                <w:bCs/>
                <w:szCs w:val="28"/>
                <w:lang w:val="en-US"/>
              </w:rPr>
            </w:pPr>
            <w:r>
              <w:rPr>
                <w:rFonts w:eastAsia="Times New Roman"/>
                <w:b/>
                <w:bCs/>
                <w:szCs w:val="28"/>
                <w:lang w:val="en-US"/>
              </w:rPr>
              <w:t>Bước 4</w:t>
            </w:r>
          </w:p>
        </w:tc>
        <w:tc>
          <w:tcPr>
            <w:tcW w:w="2722" w:type="dxa"/>
            <w:vAlign w:val="center"/>
          </w:tcPr>
          <w:p>
            <w:pPr>
              <w:tabs>
                <w:tab w:val="left" w:pos="1134"/>
              </w:tabs>
              <w:spacing w:before="120" w:after="120" w:line="240" w:lineRule="auto"/>
              <w:ind w:firstLine="567"/>
              <w:rPr>
                <w:rFonts w:eastAsia="Times New Roman"/>
                <w:i/>
                <w:iCs/>
                <w:color w:val="000000"/>
                <w:szCs w:val="28"/>
                <w:lang w:val="en-US"/>
              </w:rPr>
            </w:pPr>
            <w:r>
              <w:rPr>
                <w:rFonts w:eastAsia="Times New Roman"/>
                <w:b/>
                <w:bCs/>
                <w:szCs w:val="28"/>
                <w:lang w:val="nl-NL"/>
              </w:rPr>
              <w:t>Trả kết quả giải quyết thủ tục hành chính</w:t>
            </w:r>
          </w:p>
          <w:p>
            <w:pPr>
              <w:tabs>
                <w:tab w:val="left" w:pos="1134"/>
              </w:tabs>
              <w:spacing w:before="120" w:after="120" w:line="240" w:lineRule="auto"/>
              <w:ind w:firstLine="567"/>
              <w:rPr>
                <w:rFonts w:eastAsia="Times New Roman"/>
                <w:b/>
                <w:bCs/>
                <w:szCs w:val="28"/>
                <w:lang w:val="en-US"/>
              </w:rPr>
            </w:pPr>
          </w:p>
        </w:tc>
        <w:tc>
          <w:tcPr>
            <w:tcW w:w="7938" w:type="dxa"/>
          </w:tcPr>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Công chức tiếp nhận và trả kết quả nhập vào Sổ theo dõi hồ sơ và Phần mềm một cửa điện tử, thực hiện như sau:</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1134"/>
                <w:tab w:val="left" w:pos="2297"/>
              </w:tabs>
              <w:spacing w:before="120" w:after="120" w:line="240" w:lineRule="auto"/>
              <w:ind w:firstLine="567"/>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Trung tâm Kiểm soát thủ tục hành chính và Phục vụ hành chính công</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tabs>
                <w:tab w:val="left" w:pos="1134"/>
              </w:tabs>
              <w:spacing w:before="120" w:after="120" w:line="240" w:lineRule="auto"/>
              <w:ind w:firstLine="567"/>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0,5 ngày làm việc </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p>
        </w:tc>
      </w:tr>
    </w:tbl>
    <w:p>
      <w:pPr>
        <w:pStyle w:val="6"/>
        <w:numPr>
          <w:ilvl w:val="1"/>
          <w:numId w:val="1"/>
        </w:numPr>
        <w:tabs>
          <w:tab w:val="left" w:pos="1134"/>
        </w:tabs>
        <w:spacing w:before="120" w:after="120" w:line="240" w:lineRule="auto"/>
        <w:ind w:left="0" w:firstLine="567"/>
        <w:rPr>
          <w:rFonts w:eastAsiaTheme="minorHAnsi"/>
          <w:b/>
          <w:bCs/>
          <w:szCs w:val="28"/>
          <w:lang w:val="en-US"/>
        </w:rPr>
      </w:pPr>
      <w:r>
        <w:rPr>
          <w:rFonts w:eastAsiaTheme="minorHAnsi"/>
          <w:b/>
          <w:bCs/>
          <w:szCs w:val="28"/>
          <w:lang w:val="en-US"/>
        </w:rPr>
        <w:t>Thành phần, số lượng hồ sơ</w:t>
      </w:r>
    </w:p>
    <w:p>
      <w:pPr>
        <w:tabs>
          <w:tab w:val="left" w:pos="1134"/>
        </w:tabs>
        <w:spacing w:before="120" w:after="120" w:line="240" w:lineRule="auto"/>
        <w:ind w:firstLine="567"/>
        <w:rPr>
          <w:rFonts w:eastAsiaTheme="minorHAnsi"/>
          <w:b/>
          <w:bCs/>
          <w:szCs w:val="28"/>
          <w:lang w:val="en-US"/>
        </w:rPr>
      </w:pPr>
      <w:r>
        <w:rPr>
          <w:rFonts w:eastAsiaTheme="minorHAnsi"/>
          <w:b/>
          <w:bCs/>
          <w:szCs w:val="28"/>
          <w:shd w:val="clear" w:color="auto" w:fill="FFFFFF"/>
          <w:lang w:val="en-US"/>
        </w:rPr>
        <w:t>a) Thành phần hồ sơ</w:t>
      </w:r>
    </w:p>
    <w:p>
      <w:pPr>
        <w:tabs>
          <w:tab w:val="left" w:pos="1134"/>
        </w:tabs>
        <w:spacing w:before="120" w:after="120" w:line="240" w:lineRule="auto"/>
        <w:ind w:firstLine="567"/>
        <w:rPr>
          <w:rFonts w:eastAsiaTheme="minorHAnsi"/>
          <w:szCs w:val="28"/>
          <w:lang w:val="en-US"/>
        </w:rPr>
      </w:pPr>
      <w:r>
        <w:rPr>
          <w:rFonts w:eastAsiaTheme="minorHAnsi"/>
          <w:szCs w:val="28"/>
          <w:lang w:val="en-US"/>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pPr>
        <w:tabs>
          <w:tab w:val="left" w:pos="1134"/>
        </w:tabs>
        <w:spacing w:before="120" w:after="120" w:line="240" w:lineRule="auto"/>
        <w:ind w:firstLine="567"/>
        <w:rPr>
          <w:rFonts w:eastAsiaTheme="minorHAnsi"/>
          <w:szCs w:val="28"/>
          <w:lang w:val="en-US"/>
        </w:rPr>
      </w:pPr>
      <w:r>
        <w:rPr>
          <w:rFonts w:eastAsiaTheme="minorHAnsi"/>
          <w:szCs w:val="28"/>
          <w:lang w:val="en-US"/>
        </w:rPr>
        <w:t>- Bản sơ yếu lý lịch của người nghiện ma túy.</w:t>
      </w:r>
    </w:p>
    <w:p>
      <w:pPr>
        <w:tabs>
          <w:tab w:val="left" w:pos="1134"/>
        </w:tabs>
        <w:spacing w:before="120" w:after="120" w:line="240" w:lineRule="auto"/>
        <w:ind w:firstLine="567"/>
        <w:rPr>
          <w:rFonts w:eastAsiaTheme="minorHAnsi"/>
          <w:szCs w:val="28"/>
          <w:lang w:val="en-US"/>
        </w:rPr>
      </w:pPr>
      <w:r>
        <w:rPr>
          <w:rFonts w:eastAsiaTheme="minorHAnsi"/>
          <w:szCs w:val="28"/>
          <w:lang w:val="en-US"/>
        </w:rPr>
        <w:t>- Kế hoạch cai nghiện cá nhân của người nghiện ma túy.</w:t>
      </w:r>
    </w:p>
    <w:p>
      <w:pPr>
        <w:tabs>
          <w:tab w:val="left" w:pos="1134"/>
        </w:tabs>
        <w:spacing w:before="120" w:after="120" w:line="240" w:lineRule="auto"/>
        <w:ind w:firstLine="567"/>
        <w:rPr>
          <w:rFonts w:eastAsiaTheme="minorHAnsi"/>
          <w:szCs w:val="28"/>
          <w:lang w:val="en-US"/>
        </w:rPr>
      </w:pPr>
      <w:r>
        <w:rPr>
          <w:rFonts w:eastAsiaTheme="minorHAnsi"/>
          <w:b/>
          <w:bCs/>
          <w:szCs w:val="28"/>
          <w:lang w:val="en-US"/>
        </w:rPr>
        <w:t>b) Số lượng hồ sơ:</w:t>
      </w:r>
      <w:r>
        <w:rPr>
          <w:rFonts w:eastAsiaTheme="minorHAnsi"/>
          <w:szCs w:val="28"/>
          <w:lang w:val="en-US"/>
        </w:rPr>
        <w:t xml:space="preserve"> 01 bộ.</w:t>
      </w:r>
    </w:p>
    <w:p>
      <w:pPr>
        <w:pStyle w:val="6"/>
        <w:numPr>
          <w:ilvl w:val="1"/>
          <w:numId w:val="1"/>
        </w:numPr>
        <w:tabs>
          <w:tab w:val="left" w:pos="1134"/>
        </w:tabs>
        <w:spacing w:before="120" w:after="120" w:line="240" w:lineRule="auto"/>
        <w:ind w:left="0" w:firstLine="567"/>
        <w:rPr>
          <w:rFonts w:eastAsiaTheme="minorHAnsi"/>
          <w:b/>
          <w:szCs w:val="28"/>
          <w:lang w:val="en-US"/>
        </w:rPr>
      </w:pPr>
      <w:r>
        <w:rPr>
          <w:rFonts w:eastAsiaTheme="minorHAnsi"/>
          <w:b/>
          <w:bCs/>
          <w:szCs w:val="28"/>
          <w:lang w:val="en-US"/>
        </w:rPr>
        <w:t xml:space="preserve">Đối tượng thực hiện thủ tục hành chính: </w:t>
      </w:r>
      <w:r>
        <w:rPr>
          <w:rFonts w:eastAsiaTheme="minorHAnsi"/>
          <w:szCs w:val="28"/>
          <w:lang w:val="en-US"/>
        </w:rPr>
        <w:t>Người nghiện ma túy hoặc gia đình, người giám hộ của người nghiện ma túy chưa thành niên.</w:t>
      </w:r>
    </w:p>
    <w:p>
      <w:pPr>
        <w:pStyle w:val="6"/>
        <w:numPr>
          <w:ilvl w:val="1"/>
          <w:numId w:val="1"/>
        </w:numPr>
        <w:tabs>
          <w:tab w:val="left" w:pos="1134"/>
        </w:tabs>
        <w:spacing w:before="120" w:after="120" w:line="240" w:lineRule="auto"/>
        <w:ind w:left="0" w:firstLine="567"/>
        <w:rPr>
          <w:rFonts w:eastAsiaTheme="minorHAnsi"/>
          <w:szCs w:val="28"/>
          <w:lang w:val="en-US"/>
        </w:rPr>
      </w:pPr>
      <w:r>
        <w:rPr>
          <w:rFonts w:eastAsiaTheme="minorHAnsi"/>
          <w:b/>
          <w:bCs/>
          <w:szCs w:val="28"/>
          <w:lang w:val="en-US"/>
        </w:rPr>
        <w:t xml:space="preserve">Cơ quan giải quyết thủ tục hành chính: </w:t>
      </w:r>
      <w:r>
        <w:rPr>
          <w:rFonts w:eastAsiaTheme="minorHAnsi"/>
          <w:szCs w:val="28"/>
          <w:lang w:val="en-US"/>
        </w:rPr>
        <w:t>Ủy ban nhân dân cấp xã</w:t>
      </w:r>
    </w:p>
    <w:p>
      <w:pPr>
        <w:pStyle w:val="6"/>
        <w:numPr>
          <w:ilvl w:val="1"/>
          <w:numId w:val="1"/>
        </w:numPr>
        <w:tabs>
          <w:tab w:val="left" w:pos="1134"/>
        </w:tabs>
        <w:spacing w:before="120" w:after="120" w:line="240" w:lineRule="auto"/>
        <w:ind w:left="0" w:firstLine="567"/>
        <w:rPr>
          <w:rFonts w:eastAsiaTheme="minorHAnsi"/>
          <w:szCs w:val="28"/>
          <w:lang w:val="en-US"/>
        </w:rPr>
      </w:pPr>
      <w:r>
        <w:rPr>
          <w:rFonts w:eastAsiaTheme="minorHAnsi"/>
          <w:b/>
          <w:bCs/>
          <w:szCs w:val="28"/>
          <w:lang w:val="en-US"/>
        </w:rPr>
        <w:t xml:space="preserve">Kết quả thực hiện thủ tục hành chính: </w:t>
      </w:r>
      <w:r>
        <w:rPr>
          <w:rFonts w:eastAsiaTheme="minorHAnsi"/>
          <w:szCs w:val="28"/>
          <w:lang w:val="en-US"/>
        </w:rPr>
        <w:t>Quyết định quản lý cai nghiện tự nguyện tại gia đình.</w:t>
      </w:r>
    </w:p>
    <w:p>
      <w:pPr>
        <w:pStyle w:val="6"/>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pPr>
        <w:pStyle w:val="6"/>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Tên mẫu đơn, mẫu tờ khai: </w:t>
      </w:r>
      <w:r>
        <w:rPr>
          <w:rFonts w:eastAsia="Times New Roman"/>
          <w:bCs/>
          <w:szCs w:val="28"/>
          <w:lang w:val="en-US"/>
        </w:rPr>
        <w:t>Không.</w:t>
      </w:r>
    </w:p>
    <w:p>
      <w:pPr>
        <w:pStyle w:val="6"/>
        <w:numPr>
          <w:ilvl w:val="1"/>
          <w:numId w:val="1"/>
        </w:numPr>
        <w:tabs>
          <w:tab w:val="left" w:pos="1134"/>
        </w:tabs>
        <w:spacing w:before="120" w:after="120" w:line="240" w:lineRule="auto"/>
        <w:ind w:left="0" w:firstLine="567"/>
        <w:rPr>
          <w:rFonts w:eastAsiaTheme="minorHAnsi"/>
          <w:b/>
          <w:szCs w:val="28"/>
          <w:lang w:val="en-US"/>
        </w:rPr>
      </w:pPr>
      <w:r>
        <w:rPr>
          <w:rFonts w:eastAsiaTheme="minorHAnsi"/>
          <w:b/>
          <w:bCs/>
          <w:szCs w:val="28"/>
          <w:lang w:val="en-US"/>
        </w:rPr>
        <w:t>Yêu cầu, điều kiện thực hiện thủ tục hành chính</w:t>
      </w:r>
    </w:p>
    <w:p>
      <w:pPr>
        <w:tabs>
          <w:tab w:val="left" w:pos="1134"/>
        </w:tabs>
        <w:spacing w:before="120" w:after="120" w:line="240" w:lineRule="auto"/>
        <w:ind w:firstLine="567"/>
        <w:rPr>
          <w:rFonts w:eastAsiaTheme="minorHAnsi"/>
          <w:b/>
          <w:szCs w:val="28"/>
          <w:lang w:val="pt-BR"/>
        </w:rPr>
      </w:pPr>
      <w:r>
        <w:rPr>
          <w:rFonts w:eastAsiaTheme="minorHAnsi"/>
          <w:szCs w:val="28"/>
          <w:lang w:val="en-US"/>
        </w:rPr>
        <w:t>Người nghiện ma túy đang cư trú tại cộng đồng tự giác khai báo và tự nguyện đăng ký cai nghiện tại gia đình.</w:t>
      </w:r>
    </w:p>
    <w:p>
      <w:pPr>
        <w:pStyle w:val="6"/>
        <w:numPr>
          <w:ilvl w:val="1"/>
          <w:numId w:val="1"/>
        </w:numPr>
        <w:tabs>
          <w:tab w:val="left" w:pos="1134"/>
        </w:tabs>
        <w:spacing w:before="120" w:after="12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pPr>
        <w:shd w:val="clear" w:color="auto" w:fill="FFFFFF"/>
        <w:tabs>
          <w:tab w:val="left" w:pos="1134"/>
        </w:tabs>
        <w:spacing w:before="120" w:after="120" w:line="240" w:lineRule="auto"/>
        <w:ind w:firstLine="567"/>
        <w:textAlignment w:val="baseline"/>
        <w:rPr>
          <w:rFonts w:eastAsia="Times New Roman"/>
          <w:color w:val="000000"/>
          <w:szCs w:val="28"/>
          <w:lang w:val="pt-BR"/>
        </w:rPr>
      </w:pPr>
      <w:r>
        <w:rPr>
          <w:rFonts w:eastAsiaTheme="minorHAnsi"/>
          <w:szCs w:val="28"/>
          <w:lang w:val="pt-BR"/>
        </w:rPr>
        <w:t xml:space="preserve">Điều 8 – 11 Nghị định số 94/2010/NĐ-CP ngày 09/9/2010 của Chính phủ </w:t>
      </w:r>
      <w:r>
        <w:rPr>
          <w:rFonts w:eastAsia="Times New Roman"/>
          <w:bCs/>
          <w:color w:val="000000"/>
          <w:szCs w:val="28"/>
          <w:lang w:val="pt-BR"/>
        </w:rPr>
        <w:t>Quy định về tổ chức cai nghiện ma túy tại gia đình, cai nghiện ma túy tại cộng đồng.</w:t>
      </w:r>
    </w:p>
    <w:p>
      <w:pPr>
        <w:pStyle w:val="6"/>
        <w:numPr>
          <w:ilvl w:val="1"/>
          <w:numId w:val="1"/>
        </w:numPr>
        <w:shd w:val="clear" w:color="auto" w:fill="FFFFFF"/>
        <w:tabs>
          <w:tab w:val="left" w:pos="1134"/>
        </w:tabs>
        <w:spacing w:before="120" w:after="120" w:line="240" w:lineRule="auto"/>
        <w:ind w:left="0" w:firstLine="567"/>
        <w:textAlignment w:val="baseline"/>
        <w:rPr>
          <w:rFonts w:eastAsiaTheme="minorHAnsi"/>
          <w:b/>
          <w:bCs/>
          <w:szCs w:val="28"/>
          <w:lang w:val="en-US" w:eastAsia="vi-VN"/>
        </w:rPr>
      </w:pPr>
      <w:r>
        <w:rPr>
          <w:rFonts w:eastAsiaTheme="minorHAnsi"/>
          <w:b/>
          <w:bCs/>
          <w:szCs w:val="28"/>
          <w:lang w:val="en-US" w:eastAsia="vi-VN"/>
        </w:rPr>
        <w:t>Lưu hồ sơ (ISO)</w:t>
      </w:r>
    </w:p>
    <w:tbl>
      <w:tblPr>
        <w:tblStyle w:val="4"/>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82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Thành phần hồ sơ lưu</w:t>
            </w:r>
          </w:p>
        </w:tc>
        <w:tc>
          <w:tcPr>
            <w:tcW w:w="38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21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ind w:firstLine="30"/>
              <w:textAlignment w:val="baseline"/>
              <w:rPr>
                <w:rFonts w:eastAsiaTheme="minorHAnsi"/>
                <w:szCs w:val="28"/>
                <w:lang w:val="en-US" w:eastAsia="vi-VN"/>
              </w:rPr>
            </w:pPr>
            <w:r>
              <w:rPr>
                <w:rFonts w:eastAsiaTheme="minorHAnsi"/>
                <w:szCs w:val="28"/>
                <w:lang w:val="en-US" w:eastAsia="vi-VN"/>
              </w:rPr>
              <w:t>- Như mục 1.2;</w:t>
            </w:r>
          </w:p>
          <w:p>
            <w:pPr>
              <w:spacing w:before="120" w:after="120" w:line="240" w:lineRule="auto"/>
              <w:ind w:firstLine="30"/>
              <w:textAlignment w:val="baseline"/>
              <w:rPr>
                <w:rFonts w:eastAsiaTheme="minorHAnsi"/>
                <w:szCs w:val="28"/>
                <w:lang w:val="en-US" w:eastAsia="vi-VN"/>
              </w:rPr>
            </w:pPr>
            <w:r>
              <w:rPr>
                <w:rFonts w:eastAsiaTheme="minorHAns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Ủy ban nhân dân cấp xã</w:t>
            </w:r>
          </w:p>
        </w:tc>
        <w:tc>
          <w:tcPr>
            <w:tcW w:w="2127" w:type="dxa"/>
            <w:vMerge w:val="restart"/>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ind w:firstLine="30"/>
              <w:textAlignment w:val="baseline"/>
              <w:rPr>
                <w:rFonts w:eastAsiaTheme="minorHAnsi"/>
                <w:szCs w:val="28"/>
                <w:lang w:val="en-US" w:eastAsia="vi-VN"/>
              </w:rPr>
            </w:pPr>
            <w:r>
              <w:rPr>
                <w:rFonts w:eastAsiaTheme="minorHAns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Bộ phận tiếp nhận và trả kết quả của Ủy ban nhân dân cấp xã</w:t>
            </w:r>
          </w:p>
        </w:tc>
        <w:tc>
          <w:tcPr>
            <w:tcW w:w="2127" w:type="dxa"/>
            <w:vMerge w:val="continue"/>
          </w:tcPr>
          <w:p>
            <w:pPr>
              <w:spacing w:before="120" w:after="120" w:line="240" w:lineRule="auto"/>
              <w:textAlignment w:val="baseline"/>
              <w:rPr>
                <w:rFonts w:eastAsiaTheme="minorHAnsi"/>
                <w:szCs w:val="28"/>
                <w:lang w:eastAsia="vi-VN"/>
              </w:rPr>
            </w:pPr>
          </w:p>
        </w:tc>
      </w:tr>
    </w:tbl>
    <w:p>
      <w:pPr>
        <w:spacing w:line="240" w:lineRule="auto"/>
        <w:jc w:val="left"/>
        <w:rPr>
          <w:rFonts w:eastAsia="Times New Roman"/>
          <w:color w:val="000000"/>
          <w:szCs w:val="28"/>
          <w:lang w:val="en-US" w:eastAsia="vi-VN"/>
        </w:rPr>
      </w:pPr>
    </w:p>
    <w:p/>
    <w:sectPr>
      <w:pgSz w:w="15840" w:h="12240"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A5FCC"/>
    <w:multiLevelType w:val="multilevel"/>
    <w:tmpl w:val="575A5FCC"/>
    <w:lvl w:ilvl="0" w:tentative="0">
      <w:start w:val="1"/>
      <w:numFmt w:val="decimal"/>
      <w:lvlText w:val="%1."/>
      <w:lvlJc w:val="left"/>
      <w:pPr>
        <w:ind w:left="720" w:hanging="360"/>
      </w:pPr>
      <w:rPr>
        <w:rFonts w:hint="default"/>
      </w:rPr>
    </w:lvl>
    <w:lvl w:ilvl="1" w:tentative="0">
      <w:start w:val="1"/>
      <w:numFmt w:val="decimal"/>
      <w:isLgl/>
      <w:lvlText w:val="%1.%2."/>
      <w:lvlJc w:val="left"/>
      <w:pPr>
        <w:ind w:left="1429" w:hanging="720"/>
      </w:pPr>
      <w:rPr>
        <w:rFonts w:hint="default"/>
        <w:b/>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487" w:hanging="108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545" w:hanging="1440"/>
      </w:pPr>
      <w:rPr>
        <w:rFonts w:hint="default"/>
      </w:rPr>
    </w:lvl>
    <w:lvl w:ilvl="6" w:tentative="0">
      <w:start w:val="1"/>
      <w:numFmt w:val="decimal"/>
      <w:isLgl/>
      <w:lvlText w:val="%1.%2.%3.%4.%5.%6.%7."/>
      <w:lvlJc w:val="left"/>
      <w:pPr>
        <w:ind w:left="4254" w:hanging="1800"/>
      </w:pPr>
      <w:rPr>
        <w:rFonts w:hint="default"/>
      </w:rPr>
    </w:lvl>
    <w:lvl w:ilvl="7" w:tentative="0">
      <w:start w:val="1"/>
      <w:numFmt w:val="decimal"/>
      <w:isLgl/>
      <w:lvlText w:val="%1.%2.%3.%4.%5.%6.%7.%8."/>
      <w:lvlJc w:val="left"/>
      <w:pPr>
        <w:ind w:left="4603" w:hanging="1800"/>
      </w:pPr>
      <w:rPr>
        <w:rFonts w:hint="default"/>
      </w:rPr>
    </w:lvl>
    <w:lvl w:ilvl="8" w:tentative="0">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C8"/>
    <w:rsid w:val="005251DF"/>
    <w:rsid w:val="00A01DC8"/>
    <w:rsid w:val="11302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5"/>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Heading 2 Char"/>
    <w:basedOn w:val="3"/>
    <w:link w:val="2"/>
    <w:qFormat/>
    <w:uiPriority w:val="0"/>
    <w:rPr>
      <w:rFonts w:asciiTheme="majorHAnsi" w:hAnsiTheme="majorHAnsi" w:eastAsiaTheme="majorEastAsia" w:cstheme="majorBidi"/>
      <w:color w:val="2E75B6" w:themeColor="accent1" w:themeShade="BF"/>
      <w:sz w:val="26"/>
      <w:szCs w:val="26"/>
      <w:lang w:val="vi-VN"/>
    </w:rPr>
  </w:style>
  <w:style w:type="paragraph"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1057</Words>
  <Characters>6030</Characters>
  <Lines>50</Lines>
  <Paragraphs>14</Paragraphs>
  <TotalTime>1</TotalTime>
  <ScaleCrop>false</ScaleCrop>
  <LinksUpToDate>false</LinksUpToDate>
  <CharactersWithSpaces>7073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2023-08-11T07:17:00Z</dcterms:created>
  <dc:creator>User</dc:creator>
  <cp:lastModifiedBy>Thảo Huỳnh</cp:lastModifiedBy>
  <dcterms:modified xsi:type="dcterms:W3CDTF">2023-10-24T04:14:05Z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123CAA5928D54449818C9B447B5E05F3_13</vt:lpwstr>
  </property>
</Properties>
</file>